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44"/>
          <w:szCs w:val="44"/>
        </w:rPr>
        <w:t xml:space="preserve">WILTEX DIRECT</w:t>
      </w:r>
    </w:p>
    <w:p>
      <w:pPr>
        <w:spacing w:after="260"/>
      </w:pPr>
      <w:r>
        <w:rPr>
          <w:b/>
          <w:bCs/>
          <w:color w:val="44546A"/>
          <w:sz w:val="20"/>
          <w:szCs w:val="20"/>
        </w:rPr>
        <w:t xml:space="preserve">PUBLIC TRANSPARENCY POLICY</w:t>
      </w:r>
    </w:p>
    <w:p>
      <w:pPr>
        <w:spacing w:after="60"/>
      </w:pPr>
      <w:r>
        <w:rPr>
          <w:b/>
          <w:bCs/>
          <w:color w:val="1F3864"/>
          <w:sz w:val="30"/>
          <w:szCs w:val="30"/>
        </w:rPr>
        <w:t xml:space="preserve">REFUND &amp; CANCELLATION POLICY</w:t>
      </w:r>
    </w:p>
    <w:p>
      <w:pPr>
        <w:spacing w:after="240"/>
      </w:pPr>
      <w:r>
        <w:rPr>
          <w:i/>
          <w:iCs/>
          <w:color w:val="44546A"/>
          <w:sz w:val="21"/>
          <w:szCs w:val="21"/>
        </w:rPr>
        <w:t xml:space="preserve">Companion Policy to the Settlement &amp; Payout Policy (POL-SET-2026-V2)</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3000"/>
        <w:gridCol w:w="6746"/>
      </w:tblGrid>
      <w:tr>
        <w:tc>
          <w:tcPr>
            <w:tcW w:type="dxa" w:w="3000"/>
            <w:shd w:fill="EDEEF2" w:val="clear"/>
            <w:tcMar>
              <w:top w:type="dxa" w:w="100"/>
              <w:left w:type="dxa" w:w="160"/>
              <w:bottom w:type="dxa" w:w="100"/>
              <w:right w:type="dxa" w:w="160"/>
            </w:tcMar>
            <w:vAlign w:val="center"/>
          </w:tcPr>
          <w:p>
            <w:r>
              <w:rPr>
                <w:b/>
                <w:bCs/>
                <w:color w:val="1F3864"/>
                <w:sz w:val="20"/>
                <w:szCs w:val="20"/>
              </w:rPr>
              <w:t xml:space="preserve">Document Reference</w:t>
            </w:r>
          </w:p>
        </w:tc>
        <w:tc>
          <w:tcPr>
            <w:tcW w:type="dxa" w:w="6746"/>
            <w:tcMar>
              <w:top w:type="dxa" w:w="100"/>
              <w:left w:type="dxa" w:w="160"/>
              <w:bottom w:type="dxa" w:w="100"/>
              <w:right w:type="dxa" w:w="160"/>
            </w:tcMar>
            <w:vAlign w:val="center"/>
          </w:tcPr>
          <w:p>
            <w:r>
              <w:rPr>
                <w:sz w:val="20"/>
                <w:szCs w:val="20"/>
              </w:rPr>
              <w:t xml:space="preserve">POL-RFD-2026-V2</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Effective Date</w:t>
            </w:r>
          </w:p>
        </w:tc>
        <w:tc>
          <w:tcPr>
            <w:tcW w:type="dxa" w:w="6746"/>
            <w:tcMar>
              <w:top w:type="dxa" w:w="100"/>
              <w:left w:type="dxa" w:w="160"/>
              <w:bottom w:type="dxa" w:w="100"/>
              <w:right w:type="dxa" w:w="160"/>
            </w:tcMar>
            <w:vAlign w:val="center"/>
          </w:tcPr>
          <w:p>
            <w:r>
              <w:rPr>
                <w:sz w:val="20"/>
                <w:szCs w:val="20"/>
              </w:rPr>
              <w:t xml:space="preserve">August 2026</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Visibility</w:t>
            </w:r>
          </w:p>
        </w:tc>
        <w:tc>
          <w:tcPr>
            <w:tcW w:type="dxa" w:w="6746"/>
            <w:tcMar>
              <w:top w:type="dxa" w:w="100"/>
              <w:left w:type="dxa" w:w="160"/>
              <w:bottom w:type="dxa" w:w="100"/>
              <w:right w:type="dxa" w:w="160"/>
            </w:tcMar>
            <w:vAlign w:val="center"/>
          </w:tcPr>
          <w:p>
            <w:r>
              <w:rPr>
                <w:sz w:val="20"/>
                <w:szCs w:val="20"/>
              </w:rPr>
              <w:t xml:space="preserve">Public Document</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Audience</w:t>
            </w:r>
          </w:p>
        </w:tc>
        <w:tc>
          <w:tcPr>
            <w:tcW w:type="dxa" w:w="6746"/>
            <w:tcMar>
              <w:top w:type="dxa" w:w="100"/>
              <w:left w:type="dxa" w:w="160"/>
              <w:bottom w:type="dxa" w:w="100"/>
              <w:right w:type="dxa" w:w="160"/>
            </w:tcMar>
            <w:vAlign w:val="center"/>
          </w:tcPr>
          <w:p>
            <w:r>
              <w:rPr>
                <w:sz w:val="20"/>
                <w:szCs w:val="20"/>
              </w:rPr>
              <w:t xml:space="preserve">Customers, Fleet Partners</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Policy Status</w:t>
            </w:r>
          </w:p>
        </w:tc>
        <w:tc>
          <w:tcPr>
            <w:tcW w:type="dxa" w:w="6746"/>
            <w:tcMar>
              <w:top w:type="dxa" w:w="100"/>
              <w:left w:type="dxa" w:w="160"/>
              <w:bottom w:type="dxa" w:w="100"/>
              <w:right w:type="dxa" w:w="160"/>
            </w:tcMar>
            <w:vAlign w:val="center"/>
          </w:tcPr>
          <w:p>
            <w:r>
              <w:rPr>
                <w:sz w:val="20"/>
                <w:szCs w:val="20"/>
              </w:rPr>
              <w:t xml:space="preserve">Operational Policy — supersedes POL-RFD-2026-V1</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Related Policies</w:t>
            </w:r>
          </w:p>
        </w:tc>
        <w:tc>
          <w:tcPr>
            <w:tcW w:type="dxa" w:w="6746"/>
            <w:tcMar>
              <w:top w:type="dxa" w:w="100"/>
              <w:left w:type="dxa" w:w="160"/>
              <w:bottom w:type="dxa" w:w="100"/>
              <w:right w:type="dxa" w:w="160"/>
            </w:tcMar>
            <w:vAlign w:val="center"/>
          </w:tcPr>
          <w:p>
            <w:r>
              <w:rPr>
                <w:sz w:val="20"/>
                <w:szCs w:val="20"/>
              </w:rPr>
              <w:t xml:space="preserve">Settlement &amp; Payout Policy (POL-SET-2026-V2); Dispute Resolution Policy (POL-DSP-2026-V2)</w:t>
            </w:r>
          </w:p>
        </w:tc>
      </w:tr>
    </w:tbl>
    <w:p>
      <w:pPr>
        <w:pStyle w:val="Heading1"/>
        <w:pBdr>
          <w:bottom w:val="single" w:color="1F3864" w:sz="6" w:space="4"/>
        </w:pBdr>
        <w:spacing w:after="160" w:before="360"/>
      </w:pPr>
      <w:r>
        <w:rPr>
          <w:b/>
          <w:bCs/>
          <w:color w:val="1F3864"/>
          <w:sz w:val="26"/>
          <w:szCs w:val="26"/>
        </w:rPr>
        <w:t xml:space="preserve">1. CORE PRINCIPLES &amp; CONSUMER PROTECTION</w:t>
      </w:r>
    </w:p>
    <w:p>
      <w:pPr>
        <w:spacing w:after="160" w:line="276"/>
      </w:pPr>
      <w:r>
        <w:rPr>
          <w:sz w:val="21"/>
          <w:szCs w:val="21"/>
        </w:rPr>
        <w:t xml:space="preserve">This Refund &amp; Cancellation Policy governs financial reversals and cancellations for services booked through the WilteX Direct platform. WilteX Direct is a marketplace platform connecting Customers with independent Fleet Partners; it does not own the vehicles or transport assets used to fulfil bookings, but it administers refunds and cancellation fees on behalf of the parties as set out below. This policy adheres to the South African Consumer Protection Act (CPA) 68 of 2008 and is intended to ensure equitable financial adjustments for Customers and Fleet Partners.</w:t>
      </w:r>
    </w:p>
    <w:p>
      <w:pPr>
        <w:pStyle w:val="Heading1"/>
        <w:pBdr>
          <w:bottom w:val="single" w:color="1F3864" w:sz="6" w:space="4"/>
        </w:pBdr>
        <w:spacing w:after="160" w:before="360"/>
      </w:pPr>
      <w:r>
        <w:rPr>
          <w:b/>
          <w:bCs/>
          <w:color w:val="1F3864"/>
          <w:sz w:val="26"/>
          <w:szCs w:val="26"/>
        </w:rPr>
        <w:t xml:space="preserve">2. REFUND ELIGIBILITY MATRIX</w:t>
      </w:r>
    </w:p>
    <w:p>
      <w:pPr>
        <w:spacing w:after="60"/>
      </w:pP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700"/>
        <w:gridCol w:w="1900"/>
        <w:gridCol w:w="5146"/>
      </w:tblGrid>
      <w:tr>
        <w:trPr>
          <w:tblHeader/>
        </w:trPr>
        <w:tc>
          <w:tcPr>
            <w:tcW w:type="dxa" w:w="2700"/>
            <w:shd w:fill="1F3864" w:val="clear"/>
            <w:tcMar>
              <w:top w:type="dxa" w:w="100"/>
              <w:left w:type="dxa" w:w="120"/>
              <w:bottom w:type="dxa" w:w="100"/>
              <w:right w:type="dxa" w:w="120"/>
            </w:tcMar>
            <w:vAlign w:val="center"/>
          </w:tcPr>
          <w:p>
            <w:r>
              <w:rPr>
                <w:b/>
                <w:bCs/>
                <w:color w:val="FFFFFF"/>
                <w:sz w:val="19"/>
                <w:szCs w:val="19"/>
              </w:rPr>
              <w:t xml:space="preserve">Scenario / Trigger</w:t>
            </w:r>
          </w:p>
        </w:tc>
        <w:tc>
          <w:tcPr>
            <w:tcW w:type="dxa" w:w="1900"/>
            <w:shd w:fill="1F3864" w:val="clear"/>
            <w:tcMar>
              <w:top w:type="dxa" w:w="100"/>
              <w:left w:type="dxa" w:w="120"/>
              <w:bottom w:type="dxa" w:w="100"/>
              <w:right w:type="dxa" w:w="120"/>
            </w:tcMar>
            <w:vAlign w:val="center"/>
          </w:tcPr>
          <w:p>
            <w:r>
              <w:rPr>
                <w:b/>
                <w:bCs/>
                <w:color w:val="FFFFFF"/>
                <w:sz w:val="19"/>
                <w:szCs w:val="19"/>
              </w:rPr>
              <w:t xml:space="preserve">Refund Eligibility</w:t>
            </w:r>
          </w:p>
        </w:tc>
        <w:tc>
          <w:tcPr>
            <w:tcW w:type="dxa" w:w="5146"/>
            <w:shd w:fill="1F3864" w:val="clear"/>
            <w:tcMar>
              <w:top w:type="dxa" w:w="100"/>
              <w:left w:type="dxa" w:w="120"/>
              <w:bottom w:type="dxa" w:w="100"/>
              <w:right w:type="dxa" w:w="120"/>
            </w:tcMar>
            <w:vAlign w:val="center"/>
          </w:tcPr>
          <w:p>
            <w:r>
              <w:rPr>
                <w:b/>
                <w:bCs/>
                <w:color w:val="FFFFFF"/>
                <w:sz w:val="19"/>
                <w:szCs w:val="19"/>
              </w:rPr>
              <w:t xml:space="preserve">Cancellation Fee / Deduction Details</w:t>
            </w:r>
          </w:p>
        </w:tc>
      </w:tr>
      <w:tr>
        <w:tc>
          <w:tcPr>
            <w:tcW w:type="dxa" w:w="2700"/>
            <w:shd w:fill="FFFFFF" w:val="clear"/>
            <w:tcMar>
              <w:top w:type="dxa" w:w="90"/>
              <w:left w:type="dxa" w:w="120"/>
              <w:bottom w:type="dxa" w:w="90"/>
              <w:right w:type="dxa" w:w="120"/>
            </w:tcMar>
            <w:vAlign w:val="center"/>
          </w:tcPr>
          <w:p>
            <w:pPr>
              <w:spacing w:line="250"/>
            </w:pPr>
            <w:r>
              <w:rPr>
                <w:sz w:val="18"/>
                <w:szCs w:val="18"/>
              </w:rPr>
              <w:t xml:space="preserve">Cancellation before Driver Dispatch</w:t>
            </w:r>
          </w:p>
        </w:tc>
        <w:tc>
          <w:tcPr>
            <w:tcW w:type="dxa" w:w="1900"/>
            <w:shd w:fill="FFFFFF" w:val="clear"/>
            <w:tcMar>
              <w:top w:type="dxa" w:w="90"/>
              <w:left w:type="dxa" w:w="120"/>
              <w:bottom w:type="dxa" w:w="90"/>
              <w:right w:type="dxa" w:w="120"/>
            </w:tcMar>
            <w:vAlign w:val="center"/>
          </w:tcPr>
          <w:p>
            <w:pPr>
              <w:spacing w:line="250"/>
            </w:pPr>
            <w:r>
              <w:rPr>
                <w:sz w:val="18"/>
                <w:szCs w:val="18"/>
              </w:rPr>
              <w:t xml:space="preserve">100% full refund</w:t>
            </w:r>
          </w:p>
        </w:tc>
        <w:tc>
          <w:tcPr>
            <w:tcW w:type="dxa" w:w="5146"/>
            <w:shd w:fill="FFFFFF" w:val="clear"/>
            <w:tcMar>
              <w:top w:type="dxa" w:w="90"/>
              <w:left w:type="dxa" w:w="120"/>
              <w:bottom w:type="dxa" w:w="90"/>
              <w:right w:type="dxa" w:w="120"/>
            </w:tcMar>
            <w:vAlign w:val="center"/>
          </w:tcPr>
          <w:p>
            <w:pPr>
              <w:spacing w:line="250"/>
            </w:pPr>
            <w:r>
              <w:rPr>
                <w:sz w:val="18"/>
                <w:szCs w:val="18"/>
              </w:rPr>
              <w:t xml:space="preserve">Zero deduction if cancelled prior to a Driver accepting or dispatching toward pickup.</w:t>
            </w:r>
          </w:p>
        </w:tc>
      </w:tr>
      <w:tr>
        <w:tc>
          <w:tcPr>
            <w:tcW w:type="dxa" w:w="2700"/>
            <w:shd w:fill="EDEEF2" w:val="clear"/>
            <w:tcMar>
              <w:top w:type="dxa" w:w="90"/>
              <w:left w:type="dxa" w:w="120"/>
              <w:bottom w:type="dxa" w:w="90"/>
              <w:right w:type="dxa" w:w="120"/>
            </w:tcMar>
            <w:vAlign w:val="center"/>
          </w:tcPr>
          <w:p>
            <w:pPr>
              <w:spacing w:line="250"/>
            </w:pPr>
            <w:r>
              <w:rPr>
                <w:sz w:val="18"/>
                <w:szCs w:val="18"/>
              </w:rPr>
              <w:t xml:space="preserve">Cancellation En-Route (Driver Dispatched)</w:t>
            </w:r>
          </w:p>
        </w:tc>
        <w:tc>
          <w:tcPr>
            <w:tcW w:type="dxa" w:w="1900"/>
            <w:shd w:fill="EDEEF2" w:val="clear"/>
            <w:tcMar>
              <w:top w:type="dxa" w:w="90"/>
              <w:left w:type="dxa" w:w="120"/>
              <w:bottom w:type="dxa" w:w="90"/>
              <w:right w:type="dxa" w:w="120"/>
            </w:tcMar>
            <w:vAlign w:val="center"/>
          </w:tcPr>
          <w:p>
            <w:pPr>
              <w:spacing w:line="250"/>
            </w:pPr>
            <w:r>
              <w:rPr>
                <w:sz w:val="18"/>
                <w:szCs w:val="18"/>
              </w:rPr>
              <w:t xml:space="preserve">Partial refund</w:t>
            </w:r>
          </w:p>
        </w:tc>
        <w:tc>
          <w:tcPr>
            <w:tcW w:type="dxa" w:w="5146"/>
            <w:shd w:fill="EDEEF2" w:val="clear"/>
            <w:tcMar>
              <w:top w:type="dxa" w:w="90"/>
              <w:left w:type="dxa" w:w="120"/>
              <w:bottom w:type="dxa" w:w="90"/>
              <w:right w:type="dxa" w:w="120"/>
            </w:tcMar>
            <w:vAlign w:val="center"/>
          </w:tcPr>
          <w:p>
            <w:pPr>
              <w:spacing w:line="250"/>
            </w:pPr>
            <w:r>
              <w:rPr>
                <w:sz w:val="18"/>
                <w:szCs w:val="18"/>
              </w:rPr>
              <w:t xml:space="preserve">A base call-out fee is deducted to compensate the Driver for fuel and time incurred; the balance is refunded.</w:t>
            </w:r>
          </w:p>
        </w:tc>
      </w:tr>
      <w:tr>
        <w:tc>
          <w:tcPr>
            <w:tcW w:type="dxa" w:w="2700"/>
            <w:shd w:fill="FFFFFF" w:val="clear"/>
            <w:tcMar>
              <w:top w:type="dxa" w:w="90"/>
              <w:left w:type="dxa" w:w="120"/>
              <w:bottom w:type="dxa" w:w="90"/>
              <w:right w:type="dxa" w:w="120"/>
            </w:tcMar>
            <w:vAlign w:val="center"/>
          </w:tcPr>
          <w:p>
            <w:pPr>
              <w:spacing w:line="250"/>
            </w:pPr>
            <w:r>
              <w:rPr>
                <w:sz w:val="18"/>
                <w:szCs w:val="18"/>
              </w:rPr>
              <w:t xml:space="preserve">Driver No-Show / Service Abandonment</w:t>
            </w:r>
          </w:p>
        </w:tc>
        <w:tc>
          <w:tcPr>
            <w:tcW w:type="dxa" w:w="1900"/>
            <w:shd w:fill="FFFFFF" w:val="clear"/>
            <w:tcMar>
              <w:top w:type="dxa" w:w="90"/>
              <w:left w:type="dxa" w:w="120"/>
              <w:bottom w:type="dxa" w:w="90"/>
              <w:right w:type="dxa" w:w="120"/>
            </w:tcMar>
            <w:vAlign w:val="center"/>
          </w:tcPr>
          <w:p>
            <w:pPr>
              <w:spacing w:line="250"/>
            </w:pPr>
            <w:r>
              <w:rPr>
                <w:sz w:val="18"/>
                <w:szCs w:val="18"/>
              </w:rPr>
              <w:t xml:space="preserve">100% full refund</w:t>
            </w:r>
          </w:p>
        </w:tc>
        <w:tc>
          <w:tcPr>
            <w:tcW w:type="dxa" w:w="5146"/>
            <w:shd w:fill="FFFFFF" w:val="clear"/>
            <w:tcMar>
              <w:top w:type="dxa" w:w="90"/>
              <w:left w:type="dxa" w:w="120"/>
              <w:bottom w:type="dxa" w:w="90"/>
              <w:right w:type="dxa" w:w="120"/>
            </w:tcMar>
            <w:vAlign w:val="center"/>
          </w:tcPr>
          <w:p>
            <w:pPr>
              <w:spacing w:line="250"/>
            </w:pPr>
            <w:r>
              <w:rPr>
                <w:sz w:val="18"/>
                <w:szCs w:val="18"/>
              </w:rPr>
              <w:t xml:space="preserve">Full refund issued immediately; the Driver is penalised on platform quality metrics.</w:t>
            </w:r>
          </w:p>
        </w:tc>
      </w:tr>
      <w:tr>
        <w:tc>
          <w:tcPr>
            <w:tcW w:type="dxa" w:w="2700"/>
            <w:shd w:fill="EDEEF2" w:val="clear"/>
            <w:tcMar>
              <w:top w:type="dxa" w:w="90"/>
              <w:left w:type="dxa" w:w="120"/>
              <w:bottom w:type="dxa" w:w="90"/>
              <w:right w:type="dxa" w:w="120"/>
            </w:tcMar>
            <w:vAlign w:val="center"/>
          </w:tcPr>
          <w:p>
            <w:pPr>
              <w:spacing w:line="250"/>
            </w:pPr>
            <w:r>
              <w:rPr>
                <w:sz w:val="18"/>
                <w:szCs w:val="18"/>
              </w:rPr>
              <w:t xml:space="preserve">Unsuccessful Delivery (Customer Fault)</w:t>
            </w:r>
          </w:p>
        </w:tc>
        <w:tc>
          <w:tcPr>
            <w:tcW w:type="dxa" w:w="1900"/>
            <w:shd w:fill="EDEEF2" w:val="clear"/>
            <w:tcMar>
              <w:top w:type="dxa" w:w="90"/>
              <w:left w:type="dxa" w:w="120"/>
              <w:bottom w:type="dxa" w:w="90"/>
              <w:right w:type="dxa" w:w="120"/>
            </w:tcMar>
            <w:vAlign w:val="center"/>
          </w:tcPr>
          <w:p>
            <w:pPr>
              <w:spacing w:line="250"/>
            </w:pPr>
            <w:r>
              <w:rPr>
                <w:sz w:val="18"/>
                <w:szCs w:val="18"/>
              </w:rPr>
              <w:t xml:space="preserve">No refund</w:t>
            </w:r>
          </w:p>
        </w:tc>
        <w:tc>
          <w:tcPr>
            <w:tcW w:type="dxa" w:w="5146"/>
            <w:shd w:fill="EDEEF2" w:val="clear"/>
            <w:tcMar>
              <w:top w:type="dxa" w:w="90"/>
              <w:left w:type="dxa" w:w="120"/>
              <w:bottom w:type="dxa" w:w="90"/>
              <w:right w:type="dxa" w:w="120"/>
            </w:tcMar>
            <w:vAlign w:val="center"/>
          </w:tcPr>
          <w:p>
            <w:pPr>
              <w:spacing w:line="250"/>
            </w:pPr>
            <w:r>
              <w:rPr>
                <w:sz w:val="18"/>
                <w:szCs w:val="18"/>
              </w:rPr>
              <w:t xml:space="preserve">If the recipient is absent or an invalid address was provided, the full trip fee applies and return-trip costs are billed separately.</w:t>
            </w:r>
          </w:p>
        </w:tc>
      </w:tr>
    </w:tbl>
    <w:p>
      <w:pPr>
        <w:spacing w:after="160"/>
      </w:pPr>
    </w:p>
    <w:p>
      <w:pPr>
        <w:pStyle w:val="Heading1"/>
        <w:pBdr>
          <w:bottom w:val="single" w:color="1F3864" w:sz="6" w:space="4"/>
        </w:pBdr>
        <w:spacing w:after="160" w:before="360"/>
      </w:pPr>
      <w:r>
        <w:rPr>
          <w:b/>
          <w:bCs/>
          <w:color w:val="1F3864"/>
          <w:sz w:val="26"/>
          <w:szCs w:val="26"/>
        </w:rPr>
        <w:t xml:space="preserve">3. REFUND PROCESSING MECHANICS</w:t>
      </w:r>
    </w:p>
    <w:p>
      <w:pPr>
        <w:spacing w:after="160" w:line="276"/>
      </w:pPr>
      <w:r>
        <w:rPr>
          <w:sz w:val="21"/>
          <w:szCs w:val="21"/>
        </w:rPr>
        <w:t xml:space="preserve">All approved refunds are automatically routed back to the original card or bank account used at checkout, via the licensed payment service provider(s) integrated with the platform in accordance with the Settlement &amp; Payout Policy (POL-SET-2026-V2). Funds typically reflect within 3 to 5 business days, depending on the card-issuing institution.</w:t>
      </w:r>
    </w:p>
    <w:tbl>
      <w:tblPr>
        <w:tblW w:type="pct" w:w="100%"/>
        <w:tblBorders>
          <w:top w:val="single" w:color="1F3864" w:sz="4"/>
          <w:left w:val="single" w:color="1F3864" w:sz="4"/>
          <w:bottom w:val="single" w:color="1F3864" w:sz="4"/>
          <w:right w:val="single" w:color="1F3864" w:sz="4"/>
          <w:insideH w:val="none" w:color="FFFFFF" w:sz="0"/>
          <w:insideV w:val="none" w:color="FFFFFF" w:sz="0"/>
        </w:tblBorders>
      </w:tblPr>
      <w:tblGrid>
        <w:gridCol w:w="100"/>
      </w:tblGrid>
      <w:tr>
        <w:tc>
          <w:tcPr>
            <w:shd w:fill="EDEEF2" w:val="clear"/>
            <w:tcMar>
              <w:top w:type="dxa" w:w="160"/>
              <w:left w:type="dxa" w:w="220"/>
              <w:bottom w:type="dxa" w:w="160"/>
              <w:right w:type="dxa" w:w="220"/>
            </w:tcMar>
          </w:tcPr>
          <w:p>
            <w:pPr>
              <w:spacing w:after="0" w:line="276"/>
            </w:pPr>
            <w:r>
              <w:rPr>
                <w:b/>
                <w:bCs/>
                <w:color w:val="1F3864"/>
                <w:sz w:val="20"/>
                <w:szCs w:val="20"/>
              </w:rPr>
              <w:t xml:space="preserve">Cross-Reference: </w:t>
            </w:r>
            <w:r>
              <w:rPr>
                <w:color w:val="44546A"/>
                <w:sz w:val="20"/>
                <w:szCs w:val="20"/>
              </w:rPr>
              <w:t xml:space="preserve">Section 18 of POL-SET-2026-V2 confirms that WilteX Direct may use, add, or replace one or more licensed payment service providers without altering the underlying settlement schedule; the same principle applies to how a refund is routed back to the Customer.</w:t>
            </w:r>
          </w:p>
        </w:tc>
      </w:tr>
    </w:tbl>
    <w:p>
      <w:pPr>
        <w:pStyle w:val="Heading1"/>
        <w:pBdr>
          <w:bottom w:val="single" w:color="1F3864" w:sz="6" w:space="4"/>
        </w:pBdr>
        <w:spacing w:after="160" w:before="360"/>
      </w:pPr>
      <w:r>
        <w:rPr>
          <w:b/>
          <w:bCs/>
          <w:color w:val="1F3864"/>
          <w:sz w:val="26"/>
          <w:szCs w:val="26"/>
        </w:rPr>
        <w:t xml:space="preserve">4. NON-REFUNDABLE PROCESSING FEES</w:t>
      </w:r>
    </w:p>
    <w:p>
      <w:pPr>
        <w:spacing w:after="160" w:line="276"/>
      </w:pPr>
      <w:r>
        <w:rPr>
          <w:sz w:val="21"/>
          <w:szCs w:val="21"/>
        </w:rPr>
        <w:t xml:space="preserve">Standard platform technology fees or third-party card-processing surcharges are non-refundable where cancellation occurs due to Customer error after dispatch confirmation.</w:t>
      </w:r>
    </w:p>
    <w:p>
      <w:pPr>
        <w:pStyle w:val="Heading1"/>
        <w:pBdr>
          <w:bottom w:val="single" w:color="1F3864" w:sz="6" w:space="4"/>
        </w:pBdr>
        <w:spacing w:after="160" w:before="360"/>
      </w:pPr>
      <w:r>
        <w:rPr>
          <w:b/>
          <w:bCs/>
          <w:color w:val="1F3864"/>
          <w:sz w:val="26"/>
          <w:szCs w:val="26"/>
        </w:rPr>
        <w:t xml:space="preserve">5. RELATIONSHIP TO OTHER POLICIES</w:t>
      </w:r>
    </w:p>
    <w:p>
      <w:pPr>
        <w:spacing w:after="160" w:line="276"/>
      </w:pPr>
      <w:r>
        <w:rPr>
          <w:sz w:val="21"/>
          <w:szCs w:val="21"/>
        </w:rPr>
        <w:t xml:space="preserve">This policy operates alongside, and does not replace, the Settlement &amp; Payout Policy (POL-SET-2026-V2) and the Dispute Resolution Policy (POL-DSP-2026-V2). Where a refund arises from a formally lodged dispute rather than a straightforward cancellation, the process in POL-DSP-2026-V2 governs how the underlying evidence is reviewed before this eligibility matrix is applied. Where a refund is recovered from a Fleet Partner's settlement after payout, Section 16 (Chargebacks, Reversals &amp; Refund Recovery) of POL-SET-2026-V2 applies.</w:t>
      </w:r>
    </w:p>
    <w:p>
      <w:pPr>
        <w:pStyle w:val="Heading1"/>
        <w:pBdr>
          <w:bottom w:val="single" w:color="1F3864" w:sz="6" w:space="4"/>
        </w:pBdr>
        <w:spacing w:after="160" w:before="360"/>
      </w:pPr>
      <w:r>
        <w:rPr>
          <w:b/>
          <w:bCs/>
          <w:color w:val="1F3864"/>
          <w:sz w:val="26"/>
          <w:szCs w:val="26"/>
        </w:rPr>
        <w:t xml:space="preserve">6. GOVERNING LAW</w:t>
      </w:r>
    </w:p>
    <w:p>
      <w:pPr>
        <w:spacing w:after="160" w:line="276"/>
      </w:pPr>
      <w:r>
        <w:rPr>
          <w:sz w:val="21"/>
          <w:szCs w:val="21"/>
        </w:rPr>
        <w:t xml:space="preserve">This policy is governed by the laws of the Republic of South Africa and adheres to the Consumer Protection Act (CPA) 68 of 2008.</w:t>
      </w:r>
    </w:p>
    <w:p>
      <w:pPr>
        <w:pStyle w:val="Heading1"/>
        <w:pBdr>
          <w:bottom w:val="single" w:color="1F3864" w:sz="6" w:space="4"/>
        </w:pBdr>
        <w:spacing w:after="160" w:before="360"/>
      </w:pPr>
      <w:r>
        <w:rPr>
          <w:b/>
          <w:bCs/>
          <w:color w:val="1F3864"/>
          <w:sz w:val="26"/>
          <w:szCs w:val="26"/>
        </w:rPr>
        <w:t xml:space="preserve">7. CONTACT</w:t>
      </w:r>
    </w:p>
    <w:p>
      <w:pPr>
        <w:spacing w:after="160" w:line="276"/>
      </w:pPr>
      <w:r>
        <w:rPr>
          <w:sz w:val="21"/>
          <w:szCs w:val="21"/>
        </w:rPr>
        <w:t xml:space="preserve">WilteX Direct (Pty) Ltd</w:t>
      </w:r>
    </w:p>
    <w:p>
      <w:pPr>
        <w:spacing w:after="160" w:line="276"/>
      </w:pPr>
      <w:r>
        <w:rPr>
          <w:sz w:val="21"/>
          <w:szCs w:val="21"/>
        </w:rPr>
        <w:t xml:space="preserve">Finance &amp; Customer Billing</w:t>
      </w:r>
    </w:p>
    <w:p>
      <w:pPr>
        <w:spacing w:after="160" w:line="276"/>
      </w:pPr>
      <w:r>
        <w:rPr>
          <w:sz w:val="21"/>
          <w:szCs w:val="21"/>
        </w:rPr>
        <w:t xml:space="preserve">Email: support@wiltex.direct</w:t>
      </w:r>
    </w:p>
    <w:p>
      <w:pPr>
        <w:spacing w:after="160" w:line="276"/>
      </w:pPr>
      <w:r>
        <w:rPr>
          <w:sz w:val="21"/>
          <w:szCs w:val="21"/>
        </w:rPr>
        <w:t xml:space="preserve">Website: https://wiltex.direct/legal/refunds</w:t>
      </w:r>
    </w:p>
    <w:p>
      <w:pPr>
        <w:spacing w:after="160" w:line="276"/>
      </w:pPr>
      <w:r>
        <w:rPr>
          <w:sz w:val="21"/>
          <w:szCs w:val="21"/>
        </w:rPr>
        <w:t xml:space="preserve">Johannesburg, South Africa</w:t>
      </w:r>
    </w:p>
    <w:p>
      <w:pPr>
        <w:pBdr>
          <w:top w:val="single" w:color="BFBFBF" w:sz="4" w:space="8"/>
        </w:pBdr>
        <w:spacing w:before="200"/>
      </w:pPr>
      <w:r>
        <w:rPr>
          <w:i/>
          <w:iCs/>
          <w:color w:val="44546A"/>
          <w:sz w:val="18"/>
          <w:szCs w:val="18"/>
        </w:rPr>
        <w:t xml:space="preserve">Document Control Note: This version supersedes POL-RFD-2026-V1 and aligns all domain references, contact details, and payment-provider language with the WilteX Direct Settlement &amp; Payout Policy (POL-SET-2026-V2), the platform's word of truth on payment mechanics. WilteX Direct is a marketplace platform connecting Customers to independent Fleet Partners; it does not own transport assets.</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tabs>
        <w:tab w:val="right" w:pos="9026"/>
      </w:tabs>
    </w:pPr>
    <w:r>
      <w:rPr>
        <w:color w:val="44546A"/>
        <w:sz w:val="16"/>
        <w:szCs w:val="16"/>
      </w:rPr>
      <w:t xml:space="preserve">POL-RFD-2026-V2</w:t>
    </w:r>
    <w:r>
      <w:rPr>
        <w:color w:val="44546A"/>
        <w:sz w:val="16"/>
        <w:szCs w:val="16"/>
      </w:rPr>
      <w:t xml:space="preserve">	Page </w:t>
    </w:r>
    <w:r>
      <w:rPr>
        <w:color w:val="44546A"/>
        <w:sz w:val="16"/>
        <w:szCs w:val="16"/>
      </w:rPr>
      <w:fldChar w:fldCharType="begin"/>
      <w:instrText xml:space="preserve">PAGE</w:instrText>
      <w:fldChar w:fldCharType="separate"/>
      <w:fldChar w:fldCharType="end"/>
    </w:r>
    <w:r>
      <w:rPr>
        <w:color w:val="44546A"/>
        <w:sz w:val="16"/>
        <w:szCs w:val="16"/>
      </w:rPr>
      <w:t xml:space="preserve"> of </w:t>
    </w:r>
    <w:r>
      <w:rPr>
        <w:color w:val="4454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026"/>
      </w:tabs>
    </w:pPr>
    <w:r>
      <w:rPr>
        <w:b/>
        <w:bCs/>
        <w:color w:val="44546A"/>
        <w:sz w:val="16"/>
        <w:szCs w:val="16"/>
      </w:rPr>
      <w:t xml:space="preserve">WILTEX DIRECT | LEGAL &amp; COMPLIANCE</w:t>
    </w:r>
    <w:r>
      <w:rPr>
        <w:color w:val="44546A"/>
        <w:sz w:val="16"/>
        <w:szCs w:val="16"/>
      </w:rPr>
      <w:t xml:space="preserve">	Refund &amp; Cancellation Policy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2026-08-07T09:57:28.121Z</dcterms:created>
  <dcterms:modified xsi:type="dcterms:W3CDTF">2026-08-07T09:57:28.121Z</dcterms:modified>
</cp:coreProperties>
</file>

<file path=docProps/custom.xml><?xml version="1.0" encoding="utf-8"?>
<Properties xmlns="http://schemas.openxmlformats.org/officeDocument/2006/custom-properties" xmlns:vt="http://schemas.openxmlformats.org/officeDocument/2006/docPropsVTypes"/>
</file>