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F3864"/>
          <w:sz w:val="44"/>
          <w:szCs w:val="44"/>
        </w:rPr>
        <w:t xml:space="preserve">WILTEX DIRECT</w:t>
      </w:r>
    </w:p>
    <w:p>
      <w:pPr>
        <w:spacing w:after="260"/>
      </w:pPr>
      <w:r>
        <w:rPr>
          <w:b/>
          <w:bCs/>
          <w:color w:val="44546A"/>
          <w:sz w:val="20"/>
          <w:szCs w:val="20"/>
        </w:rPr>
        <w:t xml:space="preserve">COMPLIANCE DOCUMENT</w:t>
      </w:r>
    </w:p>
    <w:p>
      <w:pPr>
        <w:spacing w:after="60"/>
      </w:pPr>
      <w:r>
        <w:rPr>
          <w:b/>
          <w:bCs/>
          <w:color w:val="1F3864"/>
          <w:sz w:val="30"/>
          <w:szCs w:val="30"/>
        </w:rPr>
        <w:t xml:space="preserve">KYC &amp; IDENTITY VERIFICATION POLICY</w:t>
      </w:r>
    </w:p>
    <w:p>
      <w:pPr>
        <w:spacing w:after="240"/>
      </w:pPr>
      <w:r>
        <w:rPr>
          <w:i/>
          <w:iCs/>
          <w:color w:val="44546A"/>
          <w:sz w:val="21"/>
          <w:szCs w:val="21"/>
        </w:rPr>
        <w:t xml:space="preserve">Companion Policy to the Settlement &amp; Payout Policy (POL-SET-2026-V2)</w:t>
      </w:r>
    </w:p>
    <w:tbl>
      <w:tblPr>
        <w:tblW w:type="pct" w:w="100%"/>
        <w:tblBorders>
          <w:top w:val="single" w:color="BFBFBF" w:sz="2"/>
          <w:left w:val="single" w:color="BFBFBF" w:sz="2"/>
          <w:bottom w:val="single" w:color="BFBFBF" w:sz="2"/>
          <w:right w:val="single" w:color="BFBFBF" w:sz="2"/>
          <w:insideH w:val="single" w:color="BFBFBF" w:sz="2"/>
          <w:insideV w:val="single" w:color="BFBFBF" w:sz="2"/>
        </w:tblBorders>
      </w:tblPr>
      <w:tblGrid>
        <w:gridCol w:w="3000"/>
        <w:gridCol w:w="6746"/>
      </w:tblGrid>
      <w:tr>
        <w:tc>
          <w:tcPr>
            <w:tcW w:type="dxa" w:w="3000"/>
            <w:shd w:fill="EDEEF2" w:val="clear"/>
            <w:tcMar>
              <w:top w:type="dxa" w:w="100"/>
              <w:left w:type="dxa" w:w="160"/>
              <w:bottom w:type="dxa" w:w="100"/>
              <w:right w:type="dxa" w:w="160"/>
            </w:tcMar>
            <w:vAlign w:val="center"/>
          </w:tcPr>
          <w:p>
            <w:r>
              <w:rPr>
                <w:b/>
                <w:bCs/>
                <w:color w:val="1F3864"/>
                <w:sz w:val="20"/>
                <w:szCs w:val="20"/>
              </w:rPr>
              <w:t xml:space="preserve">Document Reference</w:t>
            </w:r>
          </w:p>
        </w:tc>
        <w:tc>
          <w:tcPr>
            <w:tcW w:type="dxa" w:w="6746"/>
            <w:tcMar>
              <w:top w:type="dxa" w:w="100"/>
              <w:left w:type="dxa" w:w="160"/>
              <w:bottom w:type="dxa" w:w="100"/>
              <w:right w:type="dxa" w:w="160"/>
            </w:tcMar>
            <w:vAlign w:val="center"/>
          </w:tcPr>
          <w:p>
            <w:r>
              <w:rPr>
                <w:sz w:val="20"/>
                <w:szCs w:val="20"/>
              </w:rPr>
              <w:t xml:space="preserve">POL-KYC-2026-V2</w:t>
            </w:r>
          </w:p>
        </w:tc>
      </w:tr>
      <w:tr>
        <w:tc>
          <w:tcPr>
            <w:tcW w:type="dxa" w:w="3000"/>
            <w:shd w:fill="EDEEF2" w:val="clear"/>
            <w:tcMar>
              <w:top w:type="dxa" w:w="100"/>
              <w:left w:type="dxa" w:w="160"/>
              <w:bottom w:type="dxa" w:w="100"/>
              <w:right w:type="dxa" w:w="160"/>
            </w:tcMar>
            <w:vAlign w:val="center"/>
          </w:tcPr>
          <w:p>
            <w:r>
              <w:rPr>
                <w:b/>
                <w:bCs/>
                <w:color w:val="1F3864"/>
                <w:sz w:val="20"/>
                <w:szCs w:val="20"/>
              </w:rPr>
              <w:t xml:space="preserve">Effective Date</w:t>
            </w:r>
          </w:p>
        </w:tc>
        <w:tc>
          <w:tcPr>
            <w:tcW w:type="dxa" w:w="6746"/>
            <w:tcMar>
              <w:top w:type="dxa" w:w="100"/>
              <w:left w:type="dxa" w:w="160"/>
              <w:bottom w:type="dxa" w:w="100"/>
              <w:right w:type="dxa" w:w="160"/>
            </w:tcMar>
            <w:vAlign w:val="center"/>
          </w:tcPr>
          <w:p>
            <w:r>
              <w:rPr>
                <w:sz w:val="20"/>
                <w:szCs w:val="20"/>
              </w:rPr>
              <w:t xml:space="preserve">August 2026</w:t>
            </w:r>
          </w:p>
        </w:tc>
      </w:tr>
      <w:tr>
        <w:tc>
          <w:tcPr>
            <w:tcW w:type="dxa" w:w="3000"/>
            <w:shd w:fill="EDEEF2" w:val="clear"/>
            <w:tcMar>
              <w:top w:type="dxa" w:w="100"/>
              <w:left w:type="dxa" w:w="160"/>
              <w:bottom w:type="dxa" w:w="100"/>
              <w:right w:type="dxa" w:w="160"/>
            </w:tcMar>
            <w:vAlign w:val="center"/>
          </w:tcPr>
          <w:p>
            <w:r>
              <w:rPr>
                <w:b/>
                <w:bCs/>
                <w:color w:val="1F3864"/>
                <w:sz w:val="20"/>
                <w:szCs w:val="20"/>
              </w:rPr>
              <w:t xml:space="preserve">Visibility</w:t>
            </w:r>
          </w:p>
        </w:tc>
        <w:tc>
          <w:tcPr>
            <w:tcW w:type="dxa" w:w="6746"/>
            <w:tcMar>
              <w:top w:type="dxa" w:w="100"/>
              <w:left w:type="dxa" w:w="160"/>
              <w:bottom w:type="dxa" w:w="100"/>
              <w:right w:type="dxa" w:w="160"/>
            </w:tcMar>
            <w:vAlign w:val="center"/>
          </w:tcPr>
          <w:p>
            <w:r>
              <w:rPr>
                <w:sz w:val="20"/>
                <w:szCs w:val="20"/>
              </w:rPr>
              <w:t xml:space="preserve">Payment Partners &amp; Auditors</w:t>
            </w:r>
          </w:p>
        </w:tc>
      </w:tr>
      <w:tr>
        <w:tc>
          <w:tcPr>
            <w:tcW w:type="dxa" w:w="3000"/>
            <w:shd w:fill="EDEEF2" w:val="clear"/>
            <w:tcMar>
              <w:top w:type="dxa" w:w="100"/>
              <w:left w:type="dxa" w:w="160"/>
              <w:bottom w:type="dxa" w:w="100"/>
              <w:right w:type="dxa" w:w="160"/>
            </w:tcMar>
            <w:vAlign w:val="center"/>
          </w:tcPr>
          <w:p>
            <w:r>
              <w:rPr>
                <w:b/>
                <w:bCs/>
                <w:color w:val="1F3864"/>
                <w:sz w:val="20"/>
                <w:szCs w:val="20"/>
              </w:rPr>
              <w:t xml:space="preserve">Audience</w:t>
            </w:r>
          </w:p>
        </w:tc>
        <w:tc>
          <w:tcPr>
            <w:tcW w:type="dxa" w:w="6746"/>
            <w:tcMar>
              <w:top w:type="dxa" w:w="100"/>
              <w:left w:type="dxa" w:w="160"/>
              <w:bottom w:type="dxa" w:w="100"/>
              <w:right w:type="dxa" w:w="160"/>
            </w:tcMar>
            <w:vAlign w:val="center"/>
          </w:tcPr>
          <w:p>
            <w:r>
              <w:rPr>
                <w:sz w:val="20"/>
                <w:szCs w:val="20"/>
              </w:rPr>
              <w:t xml:space="preserve">Fleet Partners, Payment Partners, Auditors</w:t>
            </w:r>
          </w:p>
        </w:tc>
      </w:tr>
      <w:tr>
        <w:tc>
          <w:tcPr>
            <w:tcW w:type="dxa" w:w="3000"/>
            <w:shd w:fill="EDEEF2" w:val="clear"/>
            <w:tcMar>
              <w:top w:type="dxa" w:w="100"/>
              <w:left w:type="dxa" w:w="160"/>
              <w:bottom w:type="dxa" w:w="100"/>
              <w:right w:type="dxa" w:w="160"/>
            </w:tcMar>
            <w:vAlign w:val="center"/>
          </w:tcPr>
          <w:p>
            <w:r>
              <w:rPr>
                <w:b/>
                <w:bCs/>
                <w:color w:val="1F3864"/>
                <w:sz w:val="20"/>
                <w:szCs w:val="20"/>
              </w:rPr>
              <w:t xml:space="preserve">Compliance Status</w:t>
            </w:r>
          </w:p>
        </w:tc>
        <w:tc>
          <w:tcPr>
            <w:tcW w:type="dxa" w:w="6746"/>
            <w:tcMar>
              <w:top w:type="dxa" w:w="100"/>
              <w:left w:type="dxa" w:w="160"/>
              <w:bottom w:type="dxa" w:w="100"/>
              <w:right w:type="dxa" w:w="160"/>
            </w:tcMar>
            <w:vAlign w:val="center"/>
          </w:tcPr>
          <w:p>
            <w:r>
              <w:rPr>
                <w:sz w:val="20"/>
                <w:szCs w:val="20"/>
              </w:rPr>
              <w:t xml:space="preserve">Fully Compliant — supersedes POL-KYC-2026-V1</w:t>
            </w:r>
          </w:p>
        </w:tc>
      </w:tr>
      <w:tr>
        <w:tc>
          <w:tcPr>
            <w:tcW w:type="dxa" w:w="3000"/>
            <w:shd w:fill="EDEEF2" w:val="clear"/>
            <w:tcMar>
              <w:top w:type="dxa" w:w="100"/>
              <w:left w:type="dxa" w:w="160"/>
              <w:bottom w:type="dxa" w:w="100"/>
              <w:right w:type="dxa" w:w="160"/>
            </w:tcMar>
            <w:vAlign w:val="center"/>
          </w:tcPr>
          <w:p>
            <w:r>
              <w:rPr>
                <w:b/>
                <w:bCs/>
                <w:color w:val="1F3864"/>
                <w:sz w:val="20"/>
                <w:szCs w:val="20"/>
              </w:rPr>
              <w:t xml:space="preserve">Related Policies</w:t>
            </w:r>
          </w:p>
        </w:tc>
        <w:tc>
          <w:tcPr>
            <w:tcW w:type="dxa" w:w="6746"/>
            <w:tcMar>
              <w:top w:type="dxa" w:w="100"/>
              <w:left w:type="dxa" w:w="160"/>
              <w:bottom w:type="dxa" w:w="100"/>
              <w:right w:type="dxa" w:w="160"/>
            </w:tcMar>
            <w:vAlign w:val="center"/>
          </w:tcPr>
          <w:p>
            <w:r>
              <w:rPr>
                <w:sz w:val="20"/>
                <w:szCs w:val="20"/>
              </w:rPr>
              <w:t xml:space="preserve">Settlement &amp; Payout Policy (POL-SET-2026-V2); AML &amp; CFT Compliance Policy (POL-AML-2026-V2)</w:t>
            </w:r>
          </w:p>
        </w:tc>
      </w:tr>
    </w:tbl>
    <w:p>
      <w:pPr>
        <w:pStyle w:val="Heading1"/>
        <w:pBdr>
          <w:bottom w:val="single" w:color="1F3864" w:sz="6" w:space="4"/>
        </w:pBdr>
        <w:spacing w:after="160" w:before="360"/>
      </w:pPr>
      <w:r>
        <w:rPr>
          <w:b/>
          <w:bCs/>
          <w:color w:val="1F3864"/>
          <w:sz w:val="26"/>
          <w:szCs w:val="26"/>
        </w:rPr>
        <w:t xml:space="preserve">1. EXECUTIVE SUMMARY &amp; REGULATORY FRAMEWORK</w:t>
      </w:r>
    </w:p>
    <w:p>
      <w:pPr>
        <w:spacing w:after="160" w:line="276"/>
      </w:pPr>
      <w:r>
        <w:rPr>
          <w:sz w:val="21"/>
          <w:szCs w:val="21"/>
        </w:rPr>
        <w:t xml:space="preserve">WilteX Direct (Pty) Ltd operates a marketplace platform linking vetted independent transport service providers — Fleet Partners, Drivers, and Operators — with individual consumers and corporate Customers seeking freight, towing, recovery, moving, relocation, or delivery services. WilteX Direct does not own the vehicles or transport assets used to fulfil bookings. To mitigate financial crime, identity fraud, money laundering, and operational liabilities, WilteX Direct maintains a mandatory Know Your Customer (KYC) and risk-based identity verification framework.</w:t>
      </w:r>
    </w:p>
    <w:p>
      <w:pPr>
        <w:spacing w:after="160" w:line="276"/>
      </w:pPr>
      <w:r>
        <w:rPr>
          <w:sz w:val="21"/>
          <w:szCs w:val="21"/>
        </w:rPr>
        <w:t xml:space="preserve">Mandatory Vetting Clause: no Fleet Partner, individual Driver, or Operator is permitted to accept freight or towing tasks, or to initiate bank payouts on the WilteX Direct platform, without successfully passing full identity, document, and operational verification.</w:t>
      </w:r>
    </w:p>
    <w:p>
      <w:pPr>
        <w:spacing w:after="160" w:line="276"/>
      </w:pPr>
      <w:r>
        <w:rPr>
          <w:sz w:val="21"/>
          <w:szCs w:val="21"/>
        </w:rPr>
        <w:t xml:space="preserve">This policy is structured in compliance with the Financial Intelligence Centre Act (FICA) 38 of 2001 (as amended), the Protection of Personal Information Act (POPIA) 4 of 2013, and the risk-management requirements of WilteX Direct's acquiring financial institutions and payment gateways.</w:t>
      </w:r>
    </w:p>
    <w:p>
      <w:pPr>
        <w:pStyle w:val="Heading1"/>
        <w:pBdr>
          <w:bottom w:val="single" w:color="1F3864" w:sz="6" w:space="4"/>
        </w:pBdr>
        <w:spacing w:after="160" w:before="360"/>
      </w:pPr>
      <w:r>
        <w:rPr>
          <w:b/>
          <w:bCs/>
          <w:color w:val="1F3864"/>
          <w:sz w:val="26"/>
          <w:szCs w:val="26"/>
        </w:rPr>
        <w:t xml:space="preserve">2. SCOPE OF IDENTIFICATION &amp; VERIFICATION REQUIREMENTS</w:t>
      </w:r>
    </w:p>
    <w:p>
      <w:pPr>
        <w:spacing w:after="160" w:line="276"/>
      </w:pPr>
      <w:r>
        <w:rPr>
          <w:sz w:val="21"/>
          <w:szCs w:val="21"/>
        </w:rPr>
        <w:t xml:space="preserve">WilteX Direct categorises onboarded entities into three structural tiers: Individual Transport Partners, Fleet/Business Partners, and Vehicle Operational Vetting. The detailed data requirement matrices are set out below.</w:t>
      </w:r>
    </w:p>
    <w:p>
      <w:pPr>
        <w:pStyle w:val="Heading2"/>
        <w:spacing w:after="120" w:before="260"/>
      </w:pPr>
      <w:r>
        <w:rPr>
          <w:b/>
          <w:bCs/>
          <w:color w:val="44546A"/>
          <w:sz w:val="22"/>
          <w:szCs w:val="22"/>
        </w:rPr>
        <w:t xml:space="preserve">2.1 Individual Driver / Transport Partner Vetting</w:t>
      </w:r>
    </w:p>
    <w:p>
      <w:pPr>
        <w:spacing w:after="60"/>
      </w:pPr>
    </w:p>
    <w:tbl>
      <w:tblPr>
        <w:tblW w:type="pct" w:w="100%"/>
        <w:tblBorders>
          <w:top w:val="single" w:color="BFBFBF" w:sz="2"/>
          <w:left w:val="single" w:color="BFBFBF" w:sz="2"/>
          <w:bottom w:val="single" w:color="BFBFBF" w:sz="2"/>
          <w:right w:val="single" w:color="BFBFBF" w:sz="2"/>
          <w:insideH w:val="single" w:color="BFBFBF" w:sz="2"/>
          <w:insideV w:val="single" w:color="BFBFBF" w:sz="2"/>
        </w:tblBorders>
      </w:tblPr>
      <w:tblGrid>
        <w:gridCol w:w="1900"/>
        <w:gridCol w:w="3200"/>
        <w:gridCol w:w="1146"/>
        <w:gridCol w:w="3500"/>
      </w:tblGrid>
      <w:tr>
        <w:trPr>
          <w:tblHeader/>
        </w:trPr>
        <w:tc>
          <w:tcPr>
            <w:tcW w:type="dxa" w:w="1900"/>
            <w:shd w:fill="1F3864" w:val="clear"/>
            <w:tcMar>
              <w:top w:type="dxa" w:w="100"/>
              <w:left w:type="dxa" w:w="120"/>
              <w:bottom w:type="dxa" w:w="100"/>
              <w:right w:type="dxa" w:w="120"/>
            </w:tcMar>
            <w:vAlign w:val="center"/>
          </w:tcPr>
          <w:p>
            <w:r>
              <w:rPr>
                <w:b/>
                <w:bCs/>
                <w:color w:val="FFFFFF"/>
                <w:sz w:val="18"/>
                <w:szCs w:val="18"/>
              </w:rPr>
              <w:t xml:space="preserve">Data Field</w:t>
            </w:r>
          </w:p>
        </w:tc>
        <w:tc>
          <w:tcPr>
            <w:tcW w:type="dxa" w:w="3200"/>
            <w:shd w:fill="1F3864" w:val="clear"/>
            <w:tcMar>
              <w:top w:type="dxa" w:w="100"/>
              <w:left w:type="dxa" w:w="120"/>
              <w:bottom w:type="dxa" w:w="100"/>
              <w:right w:type="dxa" w:w="120"/>
            </w:tcMar>
            <w:vAlign w:val="center"/>
          </w:tcPr>
          <w:p>
            <w:r>
              <w:rPr>
                <w:b/>
                <w:bCs/>
                <w:color w:val="FFFFFF"/>
                <w:sz w:val="18"/>
                <w:szCs w:val="18"/>
              </w:rPr>
              <w:t xml:space="preserve">Document Requirement</w:t>
            </w:r>
          </w:p>
        </w:tc>
        <w:tc>
          <w:tcPr>
            <w:tcW w:type="dxa" w:w="1146"/>
            <w:shd w:fill="1F3864" w:val="clear"/>
            <w:tcMar>
              <w:top w:type="dxa" w:w="100"/>
              <w:left w:type="dxa" w:w="120"/>
              <w:bottom w:type="dxa" w:w="100"/>
              <w:right w:type="dxa" w:w="120"/>
            </w:tcMar>
            <w:vAlign w:val="center"/>
          </w:tcPr>
          <w:p>
            <w:r>
              <w:rPr>
                <w:b/>
                <w:bCs/>
                <w:color w:val="FFFFFF"/>
                <w:sz w:val="18"/>
                <w:szCs w:val="18"/>
              </w:rPr>
              <w:t xml:space="preserve">Status</w:t>
            </w:r>
          </w:p>
        </w:tc>
        <w:tc>
          <w:tcPr>
            <w:tcW w:type="dxa" w:w="3500"/>
            <w:shd w:fill="1F3864" w:val="clear"/>
            <w:tcMar>
              <w:top w:type="dxa" w:w="100"/>
              <w:left w:type="dxa" w:w="120"/>
              <w:bottom w:type="dxa" w:w="100"/>
              <w:right w:type="dxa" w:w="120"/>
            </w:tcMar>
            <w:vAlign w:val="center"/>
          </w:tcPr>
          <w:p>
            <w:r>
              <w:rPr>
                <w:b/>
                <w:bCs/>
                <w:color w:val="FFFFFF"/>
                <w:sz w:val="18"/>
                <w:szCs w:val="18"/>
              </w:rPr>
              <w:t xml:space="preserve">Verification Method</w:t>
            </w:r>
          </w:p>
        </w:tc>
      </w:tr>
      <w:tr>
        <w:tc>
          <w:tcPr>
            <w:tcW w:type="dxa" w:w="1900"/>
            <w:shd w:fill="FFFFFF" w:val="clear"/>
            <w:tcMar>
              <w:top w:type="dxa" w:w="90"/>
              <w:left w:type="dxa" w:w="120"/>
              <w:bottom w:type="dxa" w:w="90"/>
              <w:right w:type="dxa" w:w="120"/>
            </w:tcMar>
            <w:vAlign w:val="center"/>
          </w:tcPr>
          <w:p>
            <w:pPr>
              <w:spacing w:line="250"/>
            </w:pPr>
            <w:r>
              <w:rPr>
                <w:sz w:val="17"/>
                <w:szCs w:val="17"/>
              </w:rPr>
              <w:t xml:space="preserve">Full Legal Name &amp; Identity</w:t>
            </w:r>
          </w:p>
        </w:tc>
        <w:tc>
          <w:tcPr>
            <w:tcW w:type="dxa" w:w="3200"/>
            <w:shd w:fill="FFFFFF" w:val="clear"/>
            <w:tcMar>
              <w:top w:type="dxa" w:w="90"/>
              <w:left w:type="dxa" w:w="120"/>
              <w:bottom w:type="dxa" w:w="90"/>
              <w:right w:type="dxa" w:w="120"/>
            </w:tcMar>
            <w:vAlign w:val="center"/>
          </w:tcPr>
          <w:p>
            <w:pPr>
              <w:spacing w:line="250"/>
            </w:pPr>
            <w:r>
              <w:rPr>
                <w:sz w:val="17"/>
                <w:szCs w:val="17"/>
              </w:rPr>
              <w:t xml:space="preserve">South African National ID / Smart ID / valid Passport</w:t>
            </w:r>
          </w:p>
        </w:tc>
        <w:tc>
          <w:tcPr>
            <w:tcW w:type="dxa" w:w="1146"/>
            <w:shd w:fill="FFFFFF" w:val="clear"/>
            <w:tcMar>
              <w:top w:type="dxa" w:w="90"/>
              <w:left w:type="dxa" w:w="120"/>
              <w:bottom w:type="dxa" w:w="90"/>
              <w:right w:type="dxa" w:w="120"/>
            </w:tcMar>
            <w:vAlign w:val="center"/>
          </w:tcPr>
          <w:p>
            <w:pPr>
              <w:spacing w:line="250"/>
            </w:pPr>
            <w:r>
              <w:rPr>
                <w:sz w:val="17"/>
                <w:szCs w:val="17"/>
              </w:rPr>
              <w:t xml:space="preserve">Mandatory</w:t>
            </w:r>
          </w:p>
        </w:tc>
        <w:tc>
          <w:tcPr>
            <w:tcW w:type="dxa" w:w="3500"/>
            <w:shd w:fill="FFFFFF" w:val="clear"/>
            <w:tcMar>
              <w:top w:type="dxa" w:w="90"/>
              <w:left w:type="dxa" w:w="120"/>
              <w:bottom w:type="dxa" w:w="90"/>
              <w:right w:type="dxa" w:w="120"/>
            </w:tcMar>
            <w:vAlign w:val="center"/>
          </w:tcPr>
          <w:p>
            <w:pPr>
              <w:spacing w:line="250"/>
            </w:pPr>
            <w:r>
              <w:rPr>
                <w:sz w:val="17"/>
                <w:szCs w:val="17"/>
              </w:rPr>
              <w:t xml:space="preserve">Automated ID database checksum and OCR extract cross-referenced against government databases.</w:t>
            </w:r>
          </w:p>
        </w:tc>
      </w:tr>
      <w:tr>
        <w:tc>
          <w:tcPr>
            <w:tcW w:type="dxa" w:w="1900"/>
            <w:shd w:fill="EDEEF2" w:val="clear"/>
            <w:tcMar>
              <w:top w:type="dxa" w:w="90"/>
              <w:left w:type="dxa" w:w="120"/>
              <w:bottom w:type="dxa" w:w="90"/>
              <w:right w:type="dxa" w:w="120"/>
            </w:tcMar>
            <w:vAlign w:val="center"/>
          </w:tcPr>
          <w:p>
            <w:pPr>
              <w:spacing w:line="250"/>
            </w:pPr>
            <w:r>
              <w:rPr>
                <w:sz w:val="17"/>
                <w:szCs w:val="17"/>
              </w:rPr>
              <w:t xml:space="preserve">Biometric Facial Verification</w:t>
            </w:r>
          </w:p>
        </w:tc>
        <w:tc>
          <w:tcPr>
            <w:tcW w:type="dxa" w:w="3200"/>
            <w:shd w:fill="EDEEF2" w:val="clear"/>
            <w:tcMar>
              <w:top w:type="dxa" w:w="90"/>
              <w:left w:type="dxa" w:w="120"/>
              <w:bottom w:type="dxa" w:w="90"/>
              <w:right w:type="dxa" w:w="120"/>
            </w:tcMar>
            <w:vAlign w:val="center"/>
          </w:tcPr>
          <w:p>
            <w:pPr>
              <w:spacing w:line="250"/>
            </w:pPr>
            <w:r>
              <w:rPr>
                <w:sz w:val="17"/>
                <w:szCs w:val="17"/>
              </w:rPr>
              <w:t xml:space="preserve">Live selfie / biometric capture</w:t>
            </w:r>
          </w:p>
        </w:tc>
        <w:tc>
          <w:tcPr>
            <w:tcW w:type="dxa" w:w="1146"/>
            <w:shd w:fill="EDEEF2" w:val="clear"/>
            <w:tcMar>
              <w:top w:type="dxa" w:w="90"/>
              <w:left w:type="dxa" w:w="120"/>
              <w:bottom w:type="dxa" w:w="90"/>
              <w:right w:type="dxa" w:w="120"/>
            </w:tcMar>
            <w:vAlign w:val="center"/>
          </w:tcPr>
          <w:p>
            <w:pPr>
              <w:spacing w:line="250"/>
            </w:pPr>
            <w:r>
              <w:rPr>
                <w:sz w:val="17"/>
                <w:szCs w:val="17"/>
              </w:rPr>
              <w:t xml:space="preserve">Mandatory</w:t>
            </w:r>
          </w:p>
        </w:tc>
        <w:tc>
          <w:tcPr>
            <w:tcW w:type="dxa" w:w="3500"/>
            <w:shd w:fill="EDEEF2" w:val="clear"/>
            <w:tcMar>
              <w:top w:type="dxa" w:w="90"/>
              <w:left w:type="dxa" w:w="120"/>
              <w:bottom w:type="dxa" w:w="90"/>
              <w:right w:type="dxa" w:w="120"/>
            </w:tcMar>
            <w:vAlign w:val="center"/>
          </w:tcPr>
          <w:p>
            <w:pPr>
              <w:spacing w:line="250"/>
            </w:pPr>
            <w:r>
              <w:rPr>
                <w:sz w:val="17"/>
                <w:szCs w:val="17"/>
              </w:rPr>
              <w:t xml:space="preserve">Liveness detection and 1:1 biometric matching against the ID photograph to prevent impersonation.</w:t>
            </w:r>
          </w:p>
        </w:tc>
      </w:tr>
      <w:tr>
        <w:tc>
          <w:tcPr>
            <w:tcW w:type="dxa" w:w="1900"/>
            <w:shd w:fill="FFFFFF" w:val="clear"/>
            <w:tcMar>
              <w:top w:type="dxa" w:w="90"/>
              <w:left w:type="dxa" w:w="120"/>
              <w:bottom w:type="dxa" w:w="90"/>
              <w:right w:type="dxa" w:w="120"/>
            </w:tcMar>
            <w:vAlign w:val="center"/>
          </w:tcPr>
          <w:p>
            <w:pPr>
              <w:spacing w:line="250"/>
            </w:pPr>
            <w:r>
              <w:rPr>
                <w:sz w:val="17"/>
                <w:szCs w:val="17"/>
              </w:rPr>
              <w:t xml:space="preserve">Contact Credentials</w:t>
            </w:r>
          </w:p>
        </w:tc>
        <w:tc>
          <w:tcPr>
            <w:tcW w:type="dxa" w:w="3200"/>
            <w:shd w:fill="FFFFFF" w:val="clear"/>
            <w:tcMar>
              <w:top w:type="dxa" w:w="90"/>
              <w:left w:type="dxa" w:w="120"/>
              <w:bottom w:type="dxa" w:w="90"/>
              <w:right w:type="dxa" w:w="120"/>
            </w:tcMar>
            <w:vAlign w:val="center"/>
          </w:tcPr>
          <w:p>
            <w:pPr>
              <w:spacing w:line="250"/>
            </w:pPr>
            <w:r>
              <w:rPr>
                <w:sz w:val="17"/>
                <w:szCs w:val="17"/>
              </w:rPr>
              <w:t xml:space="preserve">Mobile number &amp; email address</w:t>
            </w:r>
          </w:p>
        </w:tc>
        <w:tc>
          <w:tcPr>
            <w:tcW w:type="dxa" w:w="1146"/>
            <w:shd w:fill="FFFFFF" w:val="clear"/>
            <w:tcMar>
              <w:top w:type="dxa" w:w="90"/>
              <w:left w:type="dxa" w:w="120"/>
              <w:bottom w:type="dxa" w:w="90"/>
              <w:right w:type="dxa" w:w="120"/>
            </w:tcMar>
            <w:vAlign w:val="center"/>
          </w:tcPr>
          <w:p>
            <w:pPr>
              <w:spacing w:line="250"/>
            </w:pPr>
            <w:r>
              <w:rPr>
                <w:sz w:val="17"/>
                <w:szCs w:val="17"/>
              </w:rPr>
              <w:t xml:space="preserve">Mandatory</w:t>
            </w:r>
          </w:p>
        </w:tc>
        <w:tc>
          <w:tcPr>
            <w:tcW w:type="dxa" w:w="3500"/>
            <w:shd w:fill="FFFFFF" w:val="clear"/>
            <w:tcMar>
              <w:top w:type="dxa" w:w="90"/>
              <w:left w:type="dxa" w:w="120"/>
              <w:bottom w:type="dxa" w:w="90"/>
              <w:right w:type="dxa" w:w="120"/>
            </w:tcMar>
            <w:vAlign w:val="center"/>
          </w:tcPr>
          <w:p>
            <w:pPr>
              <w:spacing w:line="250"/>
            </w:pPr>
            <w:r>
              <w:rPr>
                <w:sz w:val="17"/>
                <w:szCs w:val="17"/>
              </w:rPr>
              <w:t xml:space="preserve">One-Time Pin (OTP) SMS verification and email activation link.</w:t>
            </w:r>
          </w:p>
        </w:tc>
      </w:tr>
      <w:tr>
        <w:tc>
          <w:tcPr>
            <w:tcW w:type="dxa" w:w="1900"/>
            <w:shd w:fill="EDEEF2" w:val="clear"/>
            <w:tcMar>
              <w:top w:type="dxa" w:w="90"/>
              <w:left w:type="dxa" w:w="120"/>
              <w:bottom w:type="dxa" w:w="90"/>
              <w:right w:type="dxa" w:w="120"/>
            </w:tcMar>
            <w:vAlign w:val="center"/>
          </w:tcPr>
          <w:p>
            <w:pPr>
              <w:spacing w:line="250"/>
            </w:pPr>
            <w:r>
              <w:rPr>
                <w:sz w:val="17"/>
                <w:szCs w:val="17"/>
              </w:rPr>
              <w:t xml:space="preserve">Physical Address</w:t>
            </w:r>
          </w:p>
        </w:tc>
        <w:tc>
          <w:tcPr>
            <w:tcW w:type="dxa" w:w="3200"/>
            <w:shd w:fill="EDEEF2" w:val="clear"/>
            <w:tcMar>
              <w:top w:type="dxa" w:w="90"/>
              <w:left w:type="dxa" w:w="120"/>
              <w:bottom w:type="dxa" w:w="90"/>
              <w:right w:type="dxa" w:w="120"/>
            </w:tcMar>
            <w:vAlign w:val="center"/>
          </w:tcPr>
          <w:p>
            <w:pPr>
              <w:spacing w:line="250"/>
            </w:pPr>
            <w:r>
              <w:rPr>
                <w:sz w:val="17"/>
                <w:szCs w:val="17"/>
              </w:rPr>
              <w:t xml:space="preserve">Proof of residence (&lt;3 months old): utility bill or bank statement</w:t>
            </w:r>
          </w:p>
        </w:tc>
        <w:tc>
          <w:tcPr>
            <w:tcW w:type="dxa" w:w="1146"/>
            <w:shd w:fill="EDEEF2" w:val="clear"/>
            <w:tcMar>
              <w:top w:type="dxa" w:w="90"/>
              <w:left w:type="dxa" w:w="120"/>
              <w:bottom w:type="dxa" w:w="90"/>
              <w:right w:type="dxa" w:w="120"/>
            </w:tcMar>
            <w:vAlign w:val="center"/>
          </w:tcPr>
          <w:p>
            <w:pPr>
              <w:spacing w:line="250"/>
            </w:pPr>
            <w:r>
              <w:rPr>
                <w:sz w:val="17"/>
                <w:szCs w:val="17"/>
              </w:rPr>
              <w:t xml:space="preserve">Mandatory</w:t>
            </w:r>
          </w:p>
        </w:tc>
        <w:tc>
          <w:tcPr>
            <w:tcW w:type="dxa" w:w="3500"/>
            <w:shd w:fill="EDEEF2" w:val="clear"/>
            <w:tcMar>
              <w:top w:type="dxa" w:w="90"/>
              <w:left w:type="dxa" w:w="120"/>
              <w:bottom w:type="dxa" w:w="90"/>
              <w:right w:type="dxa" w:w="120"/>
            </w:tcMar>
            <w:vAlign w:val="center"/>
          </w:tcPr>
          <w:p>
            <w:pPr>
              <w:spacing w:line="250"/>
            </w:pPr>
            <w:r>
              <w:rPr>
                <w:sz w:val="17"/>
                <w:szCs w:val="17"/>
              </w:rPr>
              <w:t xml:space="preserve">Manual audit and OCR address extraction compliant with FICA requirements.</w:t>
            </w:r>
          </w:p>
        </w:tc>
      </w:tr>
      <w:tr>
        <w:tc>
          <w:tcPr>
            <w:tcW w:type="dxa" w:w="1900"/>
            <w:shd w:fill="FFFFFF" w:val="clear"/>
            <w:tcMar>
              <w:top w:type="dxa" w:w="90"/>
              <w:left w:type="dxa" w:w="120"/>
              <w:bottom w:type="dxa" w:w="90"/>
              <w:right w:type="dxa" w:w="120"/>
            </w:tcMar>
            <w:vAlign w:val="center"/>
          </w:tcPr>
          <w:p>
            <w:pPr>
              <w:spacing w:line="250"/>
            </w:pPr>
            <w:r>
              <w:rPr>
                <w:sz w:val="17"/>
                <w:szCs w:val="17"/>
              </w:rPr>
              <w:t xml:space="preserve">Driver Accreditation</w:t>
            </w:r>
          </w:p>
        </w:tc>
        <w:tc>
          <w:tcPr>
            <w:tcW w:type="dxa" w:w="3200"/>
            <w:shd w:fill="FFFFFF" w:val="clear"/>
            <w:tcMar>
              <w:top w:type="dxa" w:w="90"/>
              <w:left w:type="dxa" w:w="120"/>
              <w:bottom w:type="dxa" w:w="90"/>
              <w:right w:type="dxa" w:w="120"/>
            </w:tcMar>
            <w:vAlign w:val="center"/>
          </w:tcPr>
          <w:p>
            <w:pPr>
              <w:spacing w:line="250"/>
            </w:pPr>
            <w:r>
              <w:rPr>
                <w:sz w:val="17"/>
                <w:szCs w:val="17"/>
              </w:rPr>
              <w:t xml:space="preserve">Valid South African driver's licence</w:t>
            </w:r>
          </w:p>
        </w:tc>
        <w:tc>
          <w:tcPr>
            <w:tcW w:type="dxa" w:w="1146"/>
            <w:shd w:fill="FFFFFF" w:val="clear"/>
            <w:tcMar>
              <w:top w:type="dxa" w:w="90"/>
              <w:left w:type="dxa" w:w="120"/>
              <w:bottom w:type="dxa" w:w="90"/>
              <w:right w:type="dxa" w:w="120"/>
            </w:tcMar>
            <w:vAlign w:val="center"/>
          </w:tcPr>
          <w:p>
            <w:pPr>
              <w:spacing w:line="250"/>
            </w:pPr>
            <w:r>
              <w:rPr>
                <w:sz w:val="17"/>
                <w:szCs w:val="17"/>
              </w:rPr>
              <w:t xml:space="preserve">Mandatory</w:t>
            </w:r>
          </w:p>
        </w:tc>
        <w:tc>
          <w:tcPr>
            <w:tcW w:type="dxa" w:w="3500"/>
            <w:shd w:fill="FFFFFF" w:val="clear"/>
            <w:tcMar>
              <w:top w:type="dxa" w:w="90"/>
              <w:left w:type="dxa" w:w="120"/>
              <w:bottom w:type="dxa" w:w="90"/>
              <w:right w:type="dxa" w:w="120"/>
            </w:tcMar>
            <w:vAlign w:val="center"/>
          </w:tcPr>
          <w:p>
            <w:pPr>
              <w:spacing w:line="250"/>
            </w:pPr>
            <w:r>
              <w:rPr>
                <w:sz w:val="17"/>
                <w:szCs w:val="17"/>
              </w:rPr>
              <w:t xml:space="preserve">Licence code check, expiration audit, and visual anti-tampering inspection.</w:t>
            </w:r>
          </w:p>
        </w:tc>
      </w:tr>
      <w:tr>
        <w:tc>
          <w:tcPr>
            <w:tcW w:type="dxa" w:w="1900"/>
            <w:shd w:fill="EDEEF2" w:val="clear"/>
            <w:tcMar>
              <w:top w:type="dxa" w:w="90"/>
              <w:left w:type="dxa" w:w="120"/>
              <w:bottom w:type="dxa" w:w="90"/>
              <w:right w:type="dxa" w:w="120"/>
            </w:tcMar>
            <w:vAlign w:val="center"/>
          </w:tcPr>
          <w:p>
            <w:pPr>
              <w:spacing w:line="250"/>
            </w:pPr>
            <w:r>
              <w:rPr>
                <w:sz w:val="17"/>
                <w:szCs w:val="17"/>
              </w:rPr>
              <w:t xml:space="preserve">Professional Driver Permit</w:t>
            </w:r>
          </w:p>
        </w:tc>
        <w:tc>
          <w:tcPr>
            <w:tcW w:type="dxa" w:w="3200"/>
            <w:shd w:fill="EDEEF2" w:val="clear"/>
            <w:tcMar>
              <w:top w:type="dxa" w:w="90"/>
              <w:left w:type="dxa" w:w="120"/>
              <w:bottom w:type="dxa" w:w="90"/>
              <w:right w:type="dxa" w:w="120"/>
            </w:tcMar>
            <w:vAlign w:val="center"/>
          </w:tcPr>
          <w:p>
            <w:pPr>
              <w:spacing w:line="250"/>
            </w:pPr>
            <w:r>
              <w:rPr>
                <w:sz w:val="17"/>
                <w:szCs w:val="17"/>
              </w:rPr>
              <w:t xml:space="preserve">PrDP endorsement</w:t>
            </w:r>
          </w:p>
        </w:tc>
        <w:tc>
          <w:tcPr>
            <w:tcW w:type="dxa" w:w="1146"/>
            <w:shd w:fill="EDEEF2" w:val="clear"/>
            <w:tcMar>
              <w:top w:type="dxa" w:w="90"/>
              <w:left w:type="dxa" w:w="120"/>
              <w:bottom w:type="dxa" w:w="90"/>
              <w:right w:type="dxa" w:w="120"/>
            </w:tcMar>
            <w:vAlign w:val="center"/>
          </w:tcPr>
          <w:p>
            <w:pPr>
              <w:spacing w:line="250"/>
            </w:pPr>
            <w:r>
              <w:rPr>
                <w:sz w:val="17"/>
                <w:szCs w:val="17"/>
              </w:rPr>
              <w:t xml:space="preserve">Conditional</w:t>
            </w:r>
          </w:p>
        </w:tc>
        <w:tc>
          <w:tcPr>
            <w:tcW w:type="dxa" w:w="3500"/>
            <w:shd w:fill="EDEEF2" w:val="clear"/>
            <w:tcMar>
              <w:top w:type="dxa" w:w="90"/>
              <w:left w:type="dxa" w:w="120"/>
              <w:bottom w:type="dxa" w:w="90"/>
              <w:right w:type="dxa" w:w="120"/>
            </w:tcMar>
            <w:vAlign w:val="center"/>
          </w:tcPr>
          <w:p>
            <w:pPr>
              <w:spacing w:line="250"/>
            </w:pPr>
            <w:r>
              <w:rPr>
                <w:sz w:val="17"/>
                <w:szCs w:val="17"/>
              </w:rPr>
              <w:t xml:space="preserve">Mandatory for heavy goods and specialised towing operators as required under SA road transport laws.</w:t>
            </w:r>
          </w:p>
        </w:tc>
      </w:tr>
      <w:tr>
        <w:tc>
          <w:tcPr>
            <w:tcW w:type="dxa" w:w="1900"/>
            <w:shd w:fill="FFFFFF" w:val="clear"/>
            <w:tcMar>
              <w:top w:type="dxa" w:w="90"/>
              <w:left w:type="dxa" w:w="120"/>
              <w:bottom w:type="dxa" w:w="90"/>
              <w:right w:type="dxa" w:w="120"/>
            </w:tcMar>
            <w:vAlign w:val="center"/>
          </w:tcPr>
          <w:p>
            <w:pPr>
              <w:spacing w:line="250"/>
            </w:pPr>
            <w:r>
              <w:rPr>
                <w:sz w:val="17"/>
                <w:szCs w:val="17"/>
              </w:rPr>
              <w:t xml:space="preserve">Payout Bank Account</w:t>
            </w:r>
          </w:p>
        </w:tc>
        <w:tc>
          <w:tcPr>
            <w:tcW w:type="dxa" w:w="3200"/>
            <w:shd w:fill="FFFFFF" w:val="clear"/>
            <w:tcMar>
              <w:top w:type="dxa" w:w="90"/>
              <w:left w:type="dxa" w:w="120"/>
              <w:bottom w:type="dxa" w:w="90"/>
              <w:right w:type="dxa" w:w="120"/>
            </w:tcMar>
            <w:vAlign w:val="center"/>
          </w:tcPr>
          <w:p>
            <w:pPr>
              <w:spacing w:line="250"/>
            </w:pPr>
            <w:r>
              <w:rPr>
                <w:sz w:val="17"/>
                <w:szCs w:val="17"/>
              </w:rPr>
              <w:t xml:space="preserve">Bank account confirmation letter / stamped statement</w:t>
            </w:r>
          </w:p>
        </w:tc>
        <w:tc>
          <w:tcPr>
            <w:tcW w:type="dxa" w:w="1146"/>
            <w:shd w:fill="FFFFFF" w:val="clear"/>
            <w:tcMar>
              <w:top w:type="dxa" w:w="90"/>
              <w:left w:type="dxa" w:w="120"/>
              <w:bottom w:type="dxa" w:w="90"/>
              <w:right w:type="dxa" w:w="120"/>
            </w:tcMar>
            <w:vAlign w:val="center"/>
          </w:tcPr>
          <w:p>
            <w:pPr>
              <w:spacing w:line="250"/>
            </w:pPr>
            <w:r>
              <w:rPr>
                <w:sz w:val="17"/>
                <w:szCs w:val="17"/>
              </w:rPr>
              <w:t xml:space="preserve">Mandatory</w:t>
            </w:r>
          </w:p>
        </w:tc>
        <w:tc>
          <w:tcPr>
            <w:tcW w:type="dxa" w:w="3500"/>
            <w:shd w:fill="FFFFFF" w:val="clear"/>
            <w:tcMar>
              <w:top w:type="dxa" w:w="90"/>
              <w:left w:type="dxa" w:w="120"/>
              <w:bottom w:type="dxa" w:w="90"/>
              <w:right w:type="dxa" w:w="120"/>
            </w:tcMar>
            <w:vAlign w:val="center"/>
          </w:tcPr>
          <w:p>
            <w:pPr>
              <w:spacing w:line="250"/>
            </w:pPr>
            <w:r>
              <w:rPr>
                <w:sz w:val="17"/>
                <w:szCs w:val="17"/>
              </w:rPr>
              <w:t xml:space="preserve">Account-name matching (AVS) via the payment engine — the bank account holder must match the verified KYC identity.</w:t>
            </w:r>
          </w:p>
        </w:tc>
      </w:tr>
    </w:tbl>
    <w:p>
      <w:pPr>
        <w:spacing w:after="160"/>
      </w:pPr>
    </w:p>
    <w:p>
      <w:pPr>
        <w:pStyle w:val="Heading2"/>
        <w:spacing w:after="120" w:before="260"/>
      </w:pPr>
      <w:r>
        <w:rPr>
          <w:b/>
          <w:bCs/>
          <w:color w:val="44546A"/>
          <w:sz w:val="22"/>
          <w:szCs w:val="22"/>
        </w:rPr>
        <w:t xml:space="preserve">2.2 Fleet Operators &amp; Corporate Partners</w:t>
      </w:r>
    </w:p>
    <w:p>
      <w:pPr>
        <w:spacing w:after="60"/>
      </w:pPr>
    </w:p>
    <w:tbl>
      <w:tblPr>
        <w:tblW w:type="pct" w:w="100%"/>
        <w:tblBorders>
          <w:top w:val="single" w:color="BFBFBF" w:sz="2"/>
          <w:left w:val="single" w:color="BFBFBF" w:sz="2"/>
          <w:bottom w:val="single" w:color="BFBFBF" w:sz="2"/>
          <w:right w:val="single" w:color="BFBFBF" w:sz="2"/>
          <w:insideH w:val="single" w:color="BFBFBF" w:sz="2"/>
          <w:insideV w:val="single" w:color="BFBFBF" w:sz="2"/>
        </w:tblBorders>
      </w:tblPr>
      <w:tblGrid>
        <w:gridCol w:w="1900"/>
        <w:gridCol w:w="3200"/>
        <w:gridCol w:w="1146"/>
        <w:gridCol w:w="3500"/>
      </w:tblGrid>
      <w:tr>
        <w:trPr>
          <w:tblHeader/>
        </w:trPr>
        <w:tc>
          <w:tcPr>
            <w:tcW w:type="dxa" w:w="1900"/>
            <w:shd w:fill="1F3864" w:val="clear"/>
            <w:tcMar>
              <w:top w:type="dxa" w:w="100"/>
              <w:left w:type="dxa" w:w="120"/>
              <w:bottom w:type="dxa" w:w="100"/>
              <w:right w:type="dxa" w:w="120"/>
            </w:tcMar>
            <w:vAlign w:val="center"/>
          </w:tcPr>
          <w:p>
            <w:r>
              <w:rPr>
                <w:b/>
                <w:bCs/>
                <w:color w:val="FFFFFF"/>
                <w:sz w:val="18"/>
                <w:szCs w:val="18"/>
              </w:rPr>
              <w:t xml:space="preserve">Data Field</w:t>
            </w:r>
          </w:p>
        </w:tc>
        <w:tc>
          <w:tcPr>
            <w:tcW w:type="dxa" w:w="3200"/>
            <w:shd w:fill="1F3864" w:val="clear"/>
            <w:tcMar>
              <w:top w:type="dxa" w:w="100"/>
              <w:left w:type="dxa" w:w="120"/>
              <w:bottom w:type="dxa" w:w="100"/>
              <w:right w:type="dxa" w:w="120"/>
            </w:tcMar>
            <w:vAlign w:val="center"/>
          </w:tcPr>
          <w:p>
            <w:r>
              <w:rPr>
                <w:b/>
                <w:bCs/>
                <w:color w:val="FFFFFF"/>
                <w:sz w:val="18"/>
                <w:szCs w:val="18"/>
              </w:rPr>
              <w:t xml:space="preserve">Document Requirement</w:t>
            </w:r>
          </w:p>
        </w:tc>
        <w:tc>
          <w:tcPr>
            <w:tcW w:type="dxa" w:w="1146"/>
            <w:shd w:fill="1F3864" w:val="clear"/>
            <w:tcMar>
              <w:top w:type="dxa" w:w="100"/>
              <w:left w:type="dxa" w:w="120"/>
              <w:bottom w:type="dxa" w:w="100"/>
              <w:right w:type="dxa" w:w="120"/>
            </w:tcMar>
            <w:vAlign w:val="center"/>
          </w:tcPr>
          <w:p>
            <w:r>
              <w:rPr>
                <w:b/>
                <w:bCs/>
                <w:color w:val="FFFFFF"/>
                <w:sz w:val="18"/>
                <w:szCs w:val="18"/>
              </w:rPr>
              <w:t xml:space="preserve">Status</w:t>
            </w:r>
          </w:p>
        </w:tc>
        <w:tc>
          <w:tcPr>
            <w:tcW w:type="dxa" w:w="3500"/>
            <w:shd w:fill="1F3864" w:val="clear"/>
            <w:tcMar>
              <w:top w:type="dxa" w:w="100"/>
              <w:left w:type="dxa" w:w="120"/>
              <w:bottom w:type="dxa" w:w="100"/>
              <w:right w:type="dxa" w:w="120"/>
            </w:tcMar>
            <w:vAlign w:val="center"/>
          </w:tcPr>
          <w:p>
            <w:r>
              <w:rPr>
                <w:b/>
                <w:bCs/>
                <w:color w:val="FFFFFF"/>
                <w:sz w:val="18"/>
                <w:szCs w:val="18"/>
              </w:rPr>
              <w:t xml:space="preserve">Verification Method</w:t>
            </w:r>
          </w:p>
        </w:tc>
      </w:tr>
      <w:tr>
        <w:tc>
          <w:tcPr>
            <w:tcW w:type="dxa" w:w="1900"/>
            <w:shd w:fill="FFFFFF" w:val="clear"/>
            <w:tcMar>
              <w:top w:type="dxa" w:w="90"/>
              <w:left w:type="dxa" w:w="120"/>
              <w:bottom w:type="dxa" w:w="90"/>
              <w:right w:type="dxa" w:w="120"/>
            </w:tcMar>
            <w:vAlign w:val="center"/>
          </w:tcPr>
          <w:p>
            <w:pPr>
              <w:spacing w:line="250"/>
            </w:pPr>
            <w:r>
              <w:rPr>
                <w:sz w:val="17"/>
                <w:szCs w:val="17"/>
              </w:rPr>
              <w:t xml:space="preserve">Entity Legal Identification</w:t>
            </w:r>
          </w:p>
        </w:tc>
        <w:tc>
          <w:tcPr>
            <w:tcW w:type="dxa" w:w="3200"/>
            <w:shd w:fill="FFFFFF" w:val="clear"/>
            <w:tcMar>
              <w:top w:type="dxa" w:w="90"/>
              <w:left w:type="dxa" w:w="120"/>
              <w:bottom w:type="dxa" w:w="90"/>
              <w:right w:type="dxa" w:w="120"/>
            </w:tcMar>
            <w:vAlign w:val="center"/>
          </w:tcPr>
          <w:p>
            <w:pPr>
              <w:spacing w:line="250"/>
            </w:pPr>
            <w:r>
              <w:rPr>
                <w:sz w:val="17"/>
                <w:szCs w:val="17"/>
              </w:rPr>
              <w:t xml:space="preserve">CIPC registration documents (COR14.3 / COR39)</w:t>
            </w:r>
          </w:p>
        </w:tc>
        <w:tc>
          <w:tcPr>
            <w:tcW w:type="dxa" w:w="1146"/>
            <w:shd w:fill="FFFFFF" w:val="clear"/>
            <w:tcMar>
              <w:top w:type="dxa" w:w="90"/>
              <w:left w:type="dxa" w:w="120"/>
              <w:bottom w:type="dxa" w:w="90"/>
              <w:right w:type="dxa" w:w="120"/>
            </w:tcMar>
            <w:vAlign w:val="center"/>
          </w:tcPr>
          <w:p>
            <w:pPr>
              <w:spacing w:line="250"/>
            </w:pPr>
            <w:r>
              <w:rPr>
                <w:sz w:val="17"/>
                <w:szCs w:val="17"/>
              </w:rPr>
              <w:t xml:space="preserve">Mandatory</w:t>
            </w:r>
          </w:p>
        </w:tc>
        <w:tc>
          <w:tcPr>
            <w:tcW w:type="dxa" w:w="3500"/>
            <w:shd w:fill="FFFFFF" w:val="clear"/>
            <w:tcMar>
              <w:top w:type="dxa" w:w="90"/>
              <w:left w:type="dxa" w:w="120"/>
              <w:bottom w:type="dxa" w:w="90"/>
              <w:right w:type="dxa" w:w="120"/>
            </w:tcMar>
            <w:vAlign w:val="center"/>
          </w:tcPr>
          <w:p>
            <w:pPr>
              <w:spacing w:line="250"/>
            </w:pPr>
            <w:r>
              <w:rPr>
                <w:sz w:val="17"/>
                <w:szCs w:val="17"/>
              </w:rPr>
              <w:t xml:space="preserve">CIPC portal lookup verifying active company status, registration number, and registered address.</w:t>
            </w:r>
          </w:p>
        </w:tc>
      </w:tr>
      <w:tr>
        <w:tc>
          <w:tcPr>
            <w:tcW w:type="dxa" w:w="1900"/>
            <w:shd w:fill="EDEEF2" w:val="clear"/>
            <w:tcMar>
              <w:top w:type="dxa" w:w="90"/>
              <w:left w:type="dxa" w:w="120"/>
              <w:bottom w:type="dxa" w:w="90"/>
              <w:right w:type="dxa" w:w="120"/>
            </w:tcMar>
            <w:vAlign w:val="center"/>
          </w:tcPr>
          <w:p>
            <w:pPr>
              <w:spacing w:line="250"/>
            </w:pPr>
            <w:r>
              <w:rPr>
                <w:sz w:val="17"/>
                <w:szCs w:val="17"/>
              </w:rPr>
              <w:t xml:space="preserve">Authorised Representative</w:t>
            </w:r>
          </w:p>
        </w:tc>
        <w:tc>
          <w:tcPr>
            <w:tcW w:type="dxa" w:w="3200"/>
            <w:shd w:fill="EDEEF2" w:val="clear"/>
            <w:tcMar>
              <w:top w:type="dxa" w:w="90"/>
              <w:left w:type="dxa" w:w="120"/>
              <w:bottom w:type="dxa" w:w="90"/>
              <w:right w:type="dxa" w:w="120"/>
            </w:tcMar>
            <w:vAlign w:val="center"/>
          </w:tcPr>
          <w:p>
            <w:pPr>
              <w:spacing w:line="250"/>
            </w:pPr>
            <w:r>
              <w:rPr>
                <w:sz w:val="17"/>
                <w:szCs w:val="17"/>
              </w:rPr>
              <w:t xml:space="preserve">Director ID / authorised officer identity document</w:t>
            </w:r>
          </w:p>
        </w:tc>
        <w:tc>
          <w:tcPr>
            <w:tcW w:type="dxa" w:w="1146"/>
            <w:shd w:fill="EDEEF2" w:val="clear"/>
            <w:tcMar>
              <w:top w:type="dxa" w:w="90"/>
              <w:left w:type="dxa" w:w="120"/>
              <w:bottom w:type="dxa" w:w="90"/>
              <w:right w:type="dxa" w:w="120"/>
            </w:tcMar>
            <w:vAlign w:val="center"/>
          </w:tcPr>
          <w:p>
            <w:pPr>
              <w:spacing w:line="250"/>
            </w:pPr>
            <w:r>
              <w:rPr>
                <w:sz w:val="17"/>
                <w:szCs w:val="17"/>
              </w:rPr>
              <w:t xml:space="preserve">Mandatory</w:t>
            </w:r>
          </w:p>
        </w:tc>
        <w:tc>
          <w:tcPr>
            <w:tcW w:type="dxa" w:w="3500"/>
            <w:shd w:fill="EDEEF2" w:val="clear"/>
            <w:tcMar>
              <w:top w:type="dxa" w:w="90"/>
              <w:left w:type="dxa" w:w="120"/>
              <w:bottom w:type="dxa" w:w="90"/>
              <w:right w:type="dxa" w:w="120"/>
            </w:tcMar>
            <w:vAlign w:val="center"/>
          </w:tcPr>
          <w:p>
            <w:pPr>
              <w:spacing w:line="250"/>
            </w:pPr>
            <w:r>
              <w:rPr>
                <w:sz w:val="17"/>
                <w:szCs w:val="17"/>
              </w:rPr>
              <w:t xml:space="preserve">Full KYC vetting on key directors or representatives holding signing authority.</w:t>
            </w:r>
          </w:p>
        </w:tc>
      </w:tr>
      <w:tr>
        <w:tc>
          <w:tcPr>
            <w:tcW w:type="dxa" w:w="1900"/>
            <w:shd w:fill="FFFFFF" w:val="clear"/>
            <w:tcMar>
              <w:top w:type="dxa" w:w="90"/>
              <w:left w:type="dxa" w:w="120"/>
              <w:bottom w:type="dxa" w:w="90"/>
              <w:right w:type="dxa" w:w="120"/>
            </w:tcMar>
            <w:vAlign w:val="center"/>
          </w:tcPr>
          <w:p>
            <w:pPr>
              <w:spacing w:line="250"/>
            </w:pPr>
            <w:r>
              <w:rPr>
                <w:sz w:val="17"/>
                <w:szCs w:val="17"/>
              </w:rPr>
              <w:t xml:space="preserve">Tax / VAT Registration</w:t>
            </w:r>
          </w:p>
        </w:tc>
        <w:tc>
          <w:tcPr>
            <w:tcW w:type="dxa" w:w="3200"/>
            <w:shd w:fill="FFFFFF" w:val="clear"/>
            <w:tcMar>
              <w:top w:type="dxa" w:w="90"/>
              <w:left w:type="dxa" w:w="120"/>
              <w:bottom w:type="dxa" w:w="90"/>
              <w:right w:type="dxa" w:w="120"/>
            </w:tcMar>
            <w:vAlign w:val="center"/>
          </w:tcPr>
          <w:p>
            <w:pPr>
              <w:spacing w:line="250"/>
            </w:pPr>
            <w:r>
              <w:rPr>
                <w:sz w:val="17"/>
                <w:szCs w:val="17"/>
              </w:rPr>
              <w:t xml:space="preserve">SARS VAT registration certificate</w:t>
            </w:r>
          </w:p>
        </w:tc>
        <w:tc>
          <w:tcPr>
            <w:tcW w:type="dxa" w:w="1146"/>
            <w:shd w:fill="FFFFFF" w:val="clear"/>
            <w:tcMar>
              <w:top w:type="dxa" w:w="90"/>
              <w:left w:type="dxa" w:w="120"/>
              <w:bottom w:type="dxa" w:w="90"/>
              <w:right w:type="dxa" w:w="120"/>
            </w:tcMar>
            <w:vAlign w:val="center"/>
          </w:tcPr>
          <w:p>
            <w:pPr>
              <w:spacing w:line="250"/>
            </w:pPr>
            <w:r>
              <w:rPr>
                <w:sz w:val="17"/>
                <w:szCs w:val="17"/>
              </w:rPr>
              <w:t xml:space="preserve">Conditional</w:t>
            </w:r>
          </w:p>
        </w:tc>
        <w:tc>
          <w:tcPr>
            <w:tcW w:type="dxa" w:w="3500"/>
            <w:shd w:fill="FFFFFF" w:val="clear"/>
            <w:tcMar>
              <w:top w:type="dxa" w:w="90"/>
              <w:left w:type="dxa" w:w="120"/>
              <w:bottom w:type="dxa" w:w="90"/>
              <w:right w:type="dxa" w:w="120"/>
            </w:tcMar>
            <w:vAlign w:val="center"/>
          </w:tcPr>
          <w:p>
            <w:pPr>
              <w:spacing w:line="250"/>
            </w:pPr>
            <w:r>
              <w:rPr>
                <w:sz w:val="17"/>
                <w:szCs w:val="17"/>
              </w:rPr>
              <w:t xml:space="preserve">SARS eFiling verification for tax compliance and VAT invoice processing where the threshold is met.</w:t>
            </w:r>
          </w:p>
        </w:tc>
      </w:tr>
      <w:tr>
        <w:tc>
          <w:tcPr>
            <w:tcW w:type="dxa" w:w="1900"/>
            <w:shd w:fill="EDEEF2" w:val="clear"/>
            <w:tcMar>
              <w:top w:type="dxa" w:w="90"/>
              <w:left w:type="dxa" w:w="120"/>
              <w:bottom w:type="dxa" w:w="90"/>
              <w:right w:type="dxa" w:w="120"/>
            </w:tcMar>
            <w:vAlign w:val="center"/>
          </w:tcPr>
          <w:p>
            <w:pPr>
              <w:spacing w:line="250"/>
            </w:pPr>
            <w:r>
              <w:rPr>
                <w:sz w:val="17"/>
                <w:szCs w:val="17"/>
              </w:rPr>
              <w:t xml:space="preserve">Corporate Banking</w:t>
            </w:r>
          </w:p>
        </w:tc>
        <w:tc>
          <w:tcPr>
            <w:tcW w:type="dxa" w:w="3200"/>
            <w:shd w:fill="EDEEF2" w:val="clear"/>
            <w:tcMar>
              <w:top w:type="dxa" w:w="90"/>
              <w:left w:type="dxa" w:w="120"/>
              <w:bottom w:type="dxa" w:w="90"/>
              <w:right w:type="dxa" w:w="120"/>
            </w:tcMar>
            <w:vAlign w:val="center"/>
          </w:tcPr>
          <w:p>
            <w:pPr>
              <w:spacing w:line="250"/>
            </w:pPr>
            <w:r>
              <w:rPr>
                <w:sz w:val="17"/>
                <w:szCs w:val="17"/>
              </w:rPr>
              <w:t xml:space="preserve">Official bank confirmation letter (&lt;3 months)</w:t>
            </w:r>
          </w:p>
        </w:tc>
        <w:tc>
          <w:tcPr>
            <w:tcW w:type="dxa" w:w="1146"/>
            <w:shd w:fill="EDEEF2" w:val="clear"/>
            <w:tcMar>
              <w:top w:type="dxa" w:w="90"/>
              <w:left w:type="dxa" w:w="120"/>
              <w:bottom w:type="dxa" w:w="90"/>
              <w:right w:type="dxa" w:w="120"/>
            </w:tcMar>
            <w:vAlign w:val="center"/>
          </w:tcPr>
          <w:p>
            <w:pPr>
              <w:spacing w:line="250"/>
            </w:pPr>
            <w:r>
              <w:rPr>
                <w:sz w:val="17"/>
                <w:szCs w:val="17"/>
              </w:rPr>
              <w:t xml:space="preserve">Mandatory</w:t>
            </w:r>
          </w:p>
        </w:tc>
        <w:tc>
          <w:tcPr>
            <w:tcW w:type="dxa" w:w="3500"/>
            <w:shd w:fill="EDEEF2" w:val="clear"/>
            <w:tcMar>
              <w:top w:type="dxa" w:w="90"/>
              <w:left w:type="dxa" w:w="120"/>
              <w:bottom w:type="dxa" w:w="90"/>
              <w:right w:type="dxa" w:w="120"/>
            </w:tcMar>
            <w:vAlign w:val="center"/>
          </w:tcPr>
          <w:p>
            <w:pPr>
              <w:spacing w:line="250"/>
            </w:pPr>
            <w:r>
              <w:rPr>
                <w:sz w:val="17"/>
                <w:szCs w:val="17"/>
              </w:rPr>
              <w:t xml:space="preserve">Strict matching of business name and registration number against banking settlement accounts.</w:t>
            </w:r>
          </w:p>
        </w:tc>
      </w:tr>
      <w:tr>
        <w:tc>
          <w:tcPr>
            <w:tcW w:type="dxa" w:w="1900"/>
            <w:shd w:fill="FFFFFF" w:val="clear"/>
            <w:tcMar>
              <w:top w:type="dxa" w:w="90"/>
              <w:left w:type="dxa" w:w="120"/>
              <w:bottom w:type="dxa" w:w="90"/>
              <w:right w:type="dxa" w:w="120"/>
            </w:tcMar>
            <w:vAlign w:val="center"/>
          </w:tcPr>
          <w:p>
            <w:pPr>
              <w:spacing w:line="250"/>
            </w:pPr>
            <w:r>
              <w:rPr>
                <w:sz w:val="17"/>
                <w:szCs w:val="17"/>
              </w:rPr>
              <w:t xml:space="preserve">Fleet Inventory Management</w:t>
            </w:r>
          </w:p>
        </w:tc>
        <w:tc>
          <w:tcPr>
            <w:tcW w:type="dxa" w:w="3200"/>
            <w:shd w:fill="FFFFFF" w:val="clear"/>
            <w:tcMar>
              <w:top w:type="dxa" w:w="90"/>
              <w:left w:type="dxa" w:w="120"/>
              <w:bottom w:type="dxa" w:w="90"/>
              <w:right w:type="dxa" w:w="120"/>
            </w:tcMar>
            <w:vAlign w:val="center"/>
          </w:tcPr>
          <w:p>
            <w:pPr>
              <w:spacing w:line="250"/>
            </w:pPr>
            <w:r>
              <w:rPr>
                <w:sz w:val="17"/>
                <w:szCs w:val="17"/>
              </w:rPr>
              <w:t xml:space="preserve">Fleet authorisation registry</w:t>
            </w:r>
          </w:p>
        </w:tc>
        <w:tc>
          <w:tcPr>
            <w:tcW w:type="dxa" w:w="1146"/>
            <w:shd w:fill="FFFFFF" w:val="clear"/>
            <w:tcMar>
              <w:top w:type="dxa" w:w="90"/>
              <w:left w:type="dxa" w:w="120"/>
              <w:bottom w:type="dxa" w:w="90"/>
              <w:right w:type="dxa" w:w="120"/>
            </w:tcMar>
            <w:vAlign w:val="center"/>
          </w:tcPr>
          <w:p>
            <w:pPr>
              <w:spacing w:line="250"/>
            </w:pPr>
            <w:r>
              <w:rPr>
                <w:sz w:val="17"/>
                <w:szCs w:val="17"/>
              </w:rPr>
              <w:t xml:space="preserve">Mandatory</w:t>
            </w:r>
          </w:p>
        </w:tc>
        <w:tc>
          <w:tcPr>
            <w:tcW w:type="dxa" w:w="3500"/>
            <w:shd w:fill="FFFFFF" w:val="clear"/>
            <w:tcMar>
              <w:top w:type="dxa" w:w="90"/>
              <w:left w:type="dxa" w:w="120"/>
              <w:bottom w:type="dxa" w:w="90"/>
              <w:right w:type="dxa" w:w="120"/>
            </w:tcMar>
            <w:vAlign w:val="center"/>
          </w:tcPr>
          <w:p>
            <w:pPr>
              <w:spacing w:line="250"/>
            </w:pPr>
            <w:r>
              <w:rPr>
                <w:sz w:val="17"/>
                <w:szCs w:val="17"/>
              </w:rPr>
              <w:t xml:space="preserve">Audit of driver-assignment records connecting specific vehicles to authorised Drivers.</w:t>
            </w:r>
          </w:p>
        </w:tc>
      </w:tr>
    </w:tbl>
    <w:p>
      <w:pPr>
        <w:spacing w:after="160"/>
      </w:pPr>
    </w:p>
    <w:p>
      <w:pPr>
        <w:pStyle w:val="Heading2"/>
        <w:spacing w:after="120" w:before="260"/>
      </w:pPr>
      <w:r>
        <w:rPr>
          <w:b/>
          <w:bCs/>
          <w:color w:val="44546A"/>
          <w:sz w:val="22"/>
          <w:szCs w:val="22"/>
        </w:rPr>
        <w:t xml:space="preserve">2.3 Vehicle Operational &amp; Asset Compliance</w:t>
      </w:r>
    </w:p>
    <w:p>
      <w:pPr>
        <w:spacing w:after="60"/>
      </w:pPr>
    </w:p>
    <w:tbl>
      <w:tblPr>
        <w:tblW w:type="pct" w:w="100%"/>
        <w:tblBorders>
          <w:top w:val="single" w:color="BFBFBF" w:sz="2"/>
          <w:left w:val="single" w:color="BFBFBF" w:sz="2"/>
          <w:bottom w:val="single" w:color="BFBFBF" w:sz="2"/>
          <w:right w:val="single" w:color="BFBFBF" w:sz="2"/>
          <w:insideH w:val="single" w:color="BFBFBF" w:sz="2"/>
          <w:insideV w:val="single" w:color="BFBFBF" w:sz="2"/>
        </w:tblBorders>
      </w:tblPr>
      <w:tblGrid>
        <w:gridCol w:w="1900"/>
        <w:gridCol w:w="3200"/>
        <w:gridCol w:w="1146"/>
        <w:gridCol w:w="3500"/>
      </w:tblGrid>
      <w:tr>
        <w:trPr>
          <w:tblHeader/>
        </w:trPr>
        <w:tc>
          <w:tcPr>
            <w:tcW w:type="dxa" w:w="1900"/>
            <w:shd w:fill="1F3864" w:val="clear"/>
            <w:tcMar>
              <w:top w:type="dxa" w:w="100"/>
              <w:left w:type="dxa" w:w="120"/>
              <w:bottom w:type="dxa" w:w="100"/>
              <w:right w:type="dxa" w:w="120"/>
            </w:tcMar>
            <w:vAlign w:val="center"/>
          </w:tcPr>
          <w:p>
            <w:r>
              <w:rPr>
                <w:b/>
                <w:bCs/>
                <w:color w:val="FFFFFF"/>
                <w:sz w:val="18"/>
                <w:szCs w:val="18"/>
              </w:rPr>
              <w:t xml:space="preserve">Data Field</w:t>
            </w:r>
          </w:p>
        </w:tc>
        <w:tc>
          <w:tcPr>
            <w:tcW w:type="dxa" w:w="3200"/>
            <w:shd w:fill="1F3864" w:val="clear"/>
            <w:tcMar>
              <w:top w:type="dxa" w:w="100"/>
              <w:left w:type="dxa" w:w="120"/>
              <w:bottom w:type="dxa" w:w="100"/>
              <w:right w:type="dxa" w:w="120"/>
            </w:tcMar>
            <w:vAlign w:val="center"/>
          </w:tcPr>
          <w:p>
            <w:r>
              <w:rPr>
                <w:b/>
                <w:bCs/>
                <w:color w:val="FFFFFF"/>
                <w:sz w:val="18"/>
                <w:szCs w:val="18"/>
              </w:rPr>
              <w:t xml:space="preserve">Document Requirement</w:t>
            </w:r>
          </w:p>
        </w:tc>
        <w:tc>
          <w:tcPr>
            <w:tcW w:type="dxa" w:w="1146"/>
            <w:shd w:fill="1F3864" w:val="clear"/>
            <w:tcMar>
              <w:top w:type="dxa" w:w="100"/>
              <w:left w:type="dxa" w:w="120"/>
              <w:bottom w:type="dxa" w:w="100"/>
              <w:right w:type="dxa" w:w="120"/>
            </w:tcMar>
            <w:vAlign w:val="center"/>
          </w:tcPr>
          <w:p>
            <w:r>
              <w:rPr>
                <w:b/>
                <w:bCs/>
                <w:color w:val="FFFFFF"/>
                <w:sz w:val="18"/>
                <w:szCs w:val="18"/>
              </w:rPr>
              <w:t xml:space="preserve">Status</w:t>
            </w:r>
          </w:p>
        </w:tc>
        <w:tc>
          <w:tcPr>
            <w:tcW w:type="dxa" w:w="3500"/>
            <w:shd w:fill="1F3864" w:val="clear"/>
            <w:tcMar>
              <w:top w:type="dxa" w:w="100"/>
              <w:left w:type="dxa" w:w="120"/>
              <w:bottom w:type="dxa" w:w="100"/>
              <w:right w:type="dxa" w:w="120"/>
            </w:tcMar>
            <w:vAlign w:val="center"/>
          </w:tcPr>
          <w:p>
            <w:r>
              <w:rPr>
                <w:b/>
                <w:bCs/>
                <w:color w:val="FFFFFF"/>
                <w:sz w:val="18"/>
                <w:szCs w:val="18"/>
              </w:rPr>
              <w:t xml:space="preserve">Verification Method</w:t>
            </w:r>
          </w:p>
        </w:tc>
      </w:tr>
      <w:tr>
        <w:tc>
          <w:tcPr>
            <w:tcW w:type="dxa" w:w="1900"/>
            <w:shd w:fill="FFFFFF" w:val="clear"/>
            <w:tcMar>
              <w:top w:type="dxa" w:w="90"/>
              <w:left w:type="dxa" w:w="120"/>
              <w:bottom w:type="dxa" w:w="90"/>
              <w:right w:type="dxa" w:w="120"/>
            </w:tcMar>
            <w:vAlign w:val="center"/>
          </w:tcPr>
          <w:p>
            <w:pPr>
              <w:spacing w:line="250"/>
            </w:pPr>
            <w:r>
              <w:rPr>
                <w:sz w:val="17"/>
                <w:szCs w:val="17"/>
              </w:rPr>
              <w:t xml:space="preserve">Vehicle Ownership / Licence</w:t>
            </w:r>
          </w:p>
        </w:tc>
        <w:tc>
          <w:tcPr>
            <w:tcW w:type="dxa" w:w="3200"/>
            <w:shd w:fill="FFFFFF" w:val="clear"/>
            <w:tcMar>
              <w:top w:type="dxa" w:w="90"/>
              <w:left w:type="dxa" w:w="120"/>
              <w:bottom w:type="dxa" w:w="90"/>
              <w:right w:type="dxa" w:w="120"/>
            </w:tcMar>
            <w:vAlign w:val="center"/>
          </w:tcPr>
          <w:p>
            <w:pPr>
              <w:spacing w:line="250"/>
            </w:pPr>
            <w:r>
              <w:rPr>
                <w:sz w:val="17"/>
                <w:szCs w:val="17"/>
              </w:rPr>
              <w:t xml:space="preserve">Current vehicle licence disc &amp; registration certificate</w:t>
            </w:r>
          </w:p>
        </w:tc>
        <w:tc>
          <w:tcPr>
            <w:tcW w:type="dxa" w:w="1146"/>
            <w:shd w:fill="FFFFFF" w:val="clear"/>
            <w:tcMar>
              <w:top w:type="dxa" w:w="90"/>
              <w:left w:type="dxa" w:w="120"/>
              <w:bottom w:type="dxa" w:w="90"/>
              <w:right w:type="dxa" w:w="120"/>
            </w:tcMar>
            <w:vAlign w:val="center"/>
          </w:tcPr>
          <w:p>
            <w:pPr>
              <w:spacing w:line="250"/>
            </w:pPr>
            <w:r>
              <w:rPr>
                <w:sz w:val="17"/>
                <w:szCs w:val="17"/>
              </w:rPr>
              <w:t xml:space="preserve">Mandatory</w:t>
            </w:r>
          </w:p>
        </w:tc>
        <w:tc>
          <w:tcPr>
            <w:tcW w:type="dxa" w:w="3500"/>
            <w:shd w:fill="FFFFFF" w:val="clear"/>
            <w:tcMar>
              <w:top w:type="dxa" w:w="90"/>
              <w:left w:type="dxa" w:w="120"/>
              <w:bottom w:type="dxa" w:w="90"/>
              <w:right w:type="dxa" w:w="120"/>
            </w:tcMar>
            <w:vAlign w:val="center"/>
          </w:tcPr>
          <w:p>
            <w:pPr>
              <w:spacing w:line="250"/>
            </w:pPr>
            <w:r>
              <w:rPr>
                <w:sz w:val="17"/>
                <w:szCs w:val="17"/>
              </w:rPr>
              <w:t xml:space="preserve">Expiration monitoring and VIN/engine-number verification against the asset database.</w:t>
            </w:r>
          </w:p>
        </w:tc>
      </w:tr>
      <w:tr>
        <w:tc>
          <w:tcPr>
            <w:tcW w:type="dxa" w:w="1900"/>
            <w:shd w:fill="EDEEF2" w:val="clear"/>
            <w:tcMar>
              <w:top w:type="dxa" w:w="90"/>
              <w:left w:type="dxa" w:w="120"/>
              <w:bottom w:type="dxa" w:w="90"/>
              <w:right w:type="dxa" w:w="120"/>
            </w:tcMar>
            <w:vAlign w:val="center"/>
          </w:tcPr>
          <w:p>
            <w:pPr>
              <w:spacing w:line="250"/>
            </w:pPr>
            <w:r>
              <w:rPr>
                <w:sz w:val="17"/>
                <w:szCs w:val="17"/>
              </w:rPr>
              <w:t xml:space="preserve">Roadworthiness Certification</w:t>
            </w:r>
          </w:p>
        </w:tc>
        <w:tc>
          <w:tcPr>
            <w:tcW w:type="dxa" w:w="3200"/>
            <w:shd w:fill="EDEEF2" w:val="clear"/>
            <w:tcMar>
              <w:top w:type="dxa" w:w="90"/>
              <w:left w:type="dxa" w:w="120"/>
              <w:bottom w:type="dxa" w:w="90"/>
              <w:right w:type="dxa" w:w="120"/>
            </w:tcMar>
            <w:vAlign w:val="center"/>
          </w:tcPr>
          <w:p>
            <w:pPr>
              <w:spacing w:line="250"/>
            </w:pPr>
            <w:r>
              <w:rPr>
                <w:sz w:val="17"/>
                <w:szCs w:val="17"/>
              </w:rPr>
              <w:t xml:space="preserve">Valid Roadworthy Certificate (RWC)</w:t>
            </w:r>
          </w:p>
        </w:tc>
        <w:tc>
          <w:tcPr>
            <w:tcW w:type="dxa" w:w="1146"/>
            <w:shd w:fill="EDEEF2" w:val="clear"/>
            <w:tcMar>
              <w:top w:type="dxa" w:w="90"/>
              <w:left w:type="dxa" w:w="120"/>
              <w:bottom w:type="dxa" w:w="90"/>
              <w:right w:type="dxa" w:w="120"/>
            </w:tcMar>
            <w:vAlign w:val="center"/>
          </w:tcPr>
          <w:p>
            <w:pPr>
              <w:spacing w:line="250"/>
            </w:pPr>
            <w:r>
              <w:rPr>
                <w:sz w:val="17"/>
                <w:szCs w:val="17"/>
              </w:rPr>
              <w:t xml:space="preserve">Conditional</w:t>
            </w:r>
          </w:p>
        </w:tc>
        <w:tc>
          <w:tcPr>
            <w:tcW w:type="dxa" w:w="3500"/>
            <w:shd w:fill="EDEEF2" w:val="clear"/>
            <w:tcMar>
              <w:top w:type="dxa" w:w="90"/>
              <w:left w:type="dxa" w:w="120"/>
              <w:bottom w:type="dxa" w:w="90"/>
              <w:right w:type="dxa" w:w="120"/>
            </w:tcMar>
            <w:vAlign w:val="center"/>
          </w:tcPr>
          <w:p>
            <w:pPr>
              <w:spacing w:line="250"/>
            </w:pPr>
            <w:r>
              <w:rPr>
                <w:sz w:val="17"/>
                <w:szCs w:val="17"/>
              </w:rPr>
              <w:t xml:space="preserve">Required for vehicles operating above specified weight classes or public-service profiles.</w:t>
            </w:r>
          </w:p>
        </w:tc>
      </w:tr>
      <w:tr>
        <w:tc>
          <w:tcPr>
            <w:tcW w:type="dxa" w:w="1900"/>
            <w:shd w:fill="FFFFFF" w:val="clear"/>
            <w:tcMar>
              <w:top w:type="dxa" w:w="90"/>
              <w:left w:type="dxa" w:w="120"/>
              <w:bottom w:type="dxa" w:w="90"/>
              <w:right w:type="dxa" w:w="120"/>
            </w:tcMar>
            <w:vAlign w:val="center"/>
          </w:tcPr>
          <w:p>
            <w:pPr>
              <w:spacing w:line="250"/>
            </w:pPr>
            <w:r>
              <w:rPr>
                <w:sz w:val="17"/>
                <w:szCs w:val="17"/>
              </w:rPr>
              <w:t xml:space="preserve">Commercial Insurance</w:t>
            </w:r>
          </w:p>
        </w:tc>
        <w:tc>
          <w:tcPr>
            <w:tcW w:type="dxa" w:w="3200"/>
            <w:shd w:fill="FFFFFF" w:val="clear"/>
            <w:tcMar>
              <w:top w:type="dxa" w:w="90"/>
              <w:left w:type="dxa" w:w="120"/>
              <w:bottom w:type="dxa" w:w="90"/>
              <w:right w:type="dxa" w:w="120"/>
            </w:tcMar>
            <w:vAlign w:val="center"/>
          </w:tcPr>
          <w:p>
            <w:pPr>
              <w:spacing w:line="250"/>
            </w:pPr>
            <w:r>
              <w:rPr>
                <w:sz w:val="17"/>
                <w:szCs w:val="17"/>
              </w:rPr>
              <w:t xml:space="preserve">Comprehensive goods-in-transit / towing insurance policy</w:t>
            </w:r>
          </w:p>
        </w:tc>
        <w:tc>
          <w:tcPr>
            <w:tcW w:type="dxa" w:w="1146"/>
            <w:shd w:fill="FFFFFF" w:val="clear"/>
            <w:tcMar>
              <w:top w:type="dxa" w:w="90"/>
              <w:left w:type="dxa" w:w="120"/>
              <w:bottom w:type="dxa" w:w="90"/>
              <w:right w:type="dxa" w:w="120"/>
            </w:tcMar>
            <w:vAlign w:val="center"/>
          </w:tcPr>
          <w:p>
            <w:pPr>
              <w:spacing w:line="250"/>
            </w:pPr>
            <w:r>
              <w:rPr>
                <w:sz w:val="17"/>
                <w:szCs w:val="17"/>
              </w:rPr>
              <w:t xml:space="preserve">Mandatory</w:t>
            </w:r>
          </w:p>
        </w:tc>
        <w:tc>
          <w:tcPr>
            <w:tcW w:type="dxa" w:w="3500"/>
            <w:shd w:fill="FFFFFF" w:val="clear"/>
            <w:tcMar>
              <w:top w:type="dxa" w:w="90"/>
              <w:left w:type="dxa" w:w="120"/>
              <w:bottom w:type="dxa" w:w="90"/>
              <w:right w:type="dxa" w:w="120"/>
            </w:tcMar>
            <w:vAlign w:val="center"/>
          </w:tcPr>
          <w:p>
            <w:pPr>
              <w:spacing w:line="250"/>
            </w:pPr>
            <w:r>
              <w:rPr>
                <w:sz w:val="17"/>
                <w:szCs w:val="17"/>
              </w:rPr>
              <w:t xml:space="preserve">Verification of active coverage dates, insurer details, and minimum liability thresholds.</w:t>
            </w:r>
          </w:p>
        </w:tc>
      </w:tr>
      <w:tr>
        <w:tc>
          <w:tcPr>
            <w:tcW w:type="dxa" w:w="1900"/>
            <w:shd w:fill="EDEEF2" w:val="clear"/>
            <w:tcMar>
              <w:top w:type="dxa" w:w="90"/>
              <w:left w:type="dxa" w:w="120"/>
              <w:bottom w:type="dxa" w:w="90"/>
              <w:right w:type="dxa" w:w="120"/>
            </w:tcMar>
            <w:vAlign w:val="center"/>
          </w:tcPr>
          <w:p>
            <w:pPr>
              <w:spacing w:line="250"/>
            </w:pPr>
            <w:r>
              <w:rPr>
                <w:sz w:val="17"/>
                <w:szCs w:val="17"/>
              </w:rPr>
              <w:t xml:space="preserve">Vehicle Visual Audit</w:t>
            </w:r>
          </w:p>
        </w:tc>
        <w:tc>
          <w:tcPr>
            <w:tcW w:type="dxa" w:w="3200"/>
            <w:shd w:fill="EDEEF2" w:val="clear"/>
            <w:tcMar>
              <w:top w:type="dxa" w:w="90"/>
              <w:left w:type="dxa" w:w="120"/>
              <w:bottom w:type="dxa" w:w="90"/>
              <w:right w:type="dxa" w:w="120"/>
            </w:tcMar>
            <w:vAlign w:val="center"/>
          </w:tcPr>
          <w:p>
            <w:pPr>
              <w:spacing w:line="250"/>
            </w:pPr>
            <w:r>
              <w:rPr>
                <w:sz w:val="17"/>
                <w:szCs w:val="17"/>
              </w:rPr>
              <w:t xml:space="preserve">Four-angle high-resolution photographs</w:t>
            </w:r>
          </w:p>
        </w:tc>
        <w:tc>
          <w:tcPr>
            <w:tcW w:type="dxa" w:w="1146"/>
            <w:shd w:fill="EDEEF2" w:val="clear"/>
            <w:tcMar>
              <w:top w:type="dxa" w:w="90"/>
              <w:left w:type="dxa" w:w="120"/>
              <w:bottom w:type="dxa" w:w="90"/>
              <w:right w:type="dxa" w:w="120"/>
            </w:tcMar>
            <w:vAlign w:val="center"/>
          </w:tcPr>
          <w:p>
            <w:pPr>
              <w:spacing w:line="250"/>
            </w:pPr>
            <w:r>
              <w:rPr>
                <w:sz w:val="17"/>
                <w:szCs w:val="17"/>
              </w:rPr>
              <w:t xml:space="preserve">Mandatory</w:t>
            </w:r>
          </w:p>
        </w:tc>
        <w:tc>
          <w:tcPr>
            <w:tcW w:type="dxa" w:w="3500"/>
            <w:shd w:fill="EDEEF2" w:val="clear"/>
            <w:tcMar>
              <w:top w:type="dxa" w:w="90"/>
              <w:left w:type="dxa" w:w="120"/>
              <w:bottom w:type="dxa" w:w="90"/>
              <w:right w:type="dxa" w:w="120"/>
            </w:tcMar>
            <w:vAlign w:val="center"/>
          </w:tcPr>
          <w:p>
            <w:pPr>
              <w:spacing w:line="250"/>
            </w:pPr>
            <w:r>
              <w:rPr>
                <w:sz w:val="17"/>
                <w:szCs w:val="17"/>
              </w:rPr>
              <w:t xml:space="preserve">Visual inspection verifying licence-plate match, vehicle condition, and specialised towing equipment.</w:t>
            </w:r>
          </w:p>
        </w:tc>
      </w:tr>
      <w:tr>
        <w:tc>
          <w:tcPr>
            <w:tcW w:type="dxa" w:w="1900"/>
            <w:shd w:fill="FFFFFF" w:val="clear"/>
            <w:tcMar>
              <w:top w:type="dxa" w:w="90"/>
              <w:left w:type="dxa" w:w="120"/>
              <w:bottom w:type="dxa" w:w="90"/>
              <w:right w:type="dxa" w:w="120"/>
            </w:tcMar>
            <w:vAlign w:val="center"/>
          </w:tcPr>
          <w:p>
            <w:pPr>
              <w:spacing w:line="250"/>
            </w:pPr>
            <w:r>
              <w:rPr>
                <w:sz w:val="17"/>
                <w:szCs w:val="17"/>
              </w:rPr>
              <w:t xml:space="preserve">Third-Party Authorisation</w:t>
            </w:r>
          </w:p>
        </w:tc>
        <w:tc>
          <w:tcPr>
            <w:tcW w:type="dxa" w:w="3200"/>
            <w:shd w:fill="FFFFFF" w:val="clear"/>
            <w:tcMar>
              <w:top w:type="dxa" w:w="90"/>
              <w:left w:type="dxa" w:w="120"/>
              <w:bottom w:type="dxa" w:w="90"/>
              <w:right w:type="dxa" w:w="120"/>
            </w:tcMar>
            <w:vAlign w:val="center"/>
          </w:tcPr>
          <w:p>
            <w:pPr>
              <w:spacing w:line="250"/>
            </w:pPr>
            <w:r>
              <w:rPr>
                <w:sz w:val="17"/>
                <w:szCs w:val="17"/>
              </w:rPr>
              <w:t xml:space="preserve">Owner authorisation letter / lease agreement</w:t>
            </w:r>
          </w:p>
        </w:tc>
        <w:tc>
          <w:tcPr>
            <w:tcW w:type="dxa" w:w="1146"/>
            <w:shd w:fill="FFFFFF" w:val="clear"/>
            <w:tcMar>
              <w:top w:type="dxa" w:w="90"/>
              <w:left w:type="dxa" w:w="120"/>
              <w:bottom w:type="dxa" w:w="90"/>
              <w:right w:type="dxa" w:w="120"/>
            </w:tcMar>
            <w:vAlign w:val="center"/>
          </w:tcPr>
          <w:p>
            <w:pPr>
              <w:spacing w:line="250"/>
            </w:pPr>
            <w:r>
              <w:rPr>
                <w:sz w:val="17"/>
                <w:szCs w:val="17"/>
              </w:rPr>
              <w:t xml:space="preserve">Conditional</w:t>
            </w:r>
          </w:p>
        </w:tc>
        <w:tc>
          <w:tcPr>
            <w:tcW w:type="dxa" w:w="3500"/>
            <w:shd w:fill="FFFFFF" w:val="clear"/>
            <w:tcMar>
              <w:top w:type="dxa" w:w="90"/>
              <w:left w:type="dxa" w:w="120"/>
              <w:bottom w:type="dxa" w:w="90"/>
              <w:right w:type="dxa" w:w="120"/>
            </w:tcMar>
            <w:vAlign w:val="center"/>
          </w:tcPr>
          <w:p>
            <w:pPr>
              <w:spacing w:line="250"/>
            </w:pPr>
            <w:r>
              <w:rPr>
                <w:sz w:val="17"/>
                <w:szCs w:val="17"/>
              </w:rPr>
              <w:t xml:space="preserve">Required whenever the platform Driver is not the primary registered owner of the vehicle.</w:t>
            </w:r>
          </w:p>
        </w:tc>
      </w:tr>
    </w:tbl>
    <w:p>
      <w:pPr>
        <w:spacing w:after="160"/>
      </w:pPr>
    </w:p>
    <w:tbl>
      <w:tblPr>
        <w:tblW w:type="pct" w:w="100%"/>
        <w:tblBorders>
          <w:top w:val="single" w:color="1F3864" w:sz="4"/>
          <w:left w:val="single" w:color="1F3864" w:sz="4"/>
          <w:bottom w:val="single" w:color="1F3864" w:sz="4"/>
          <w:right w:val="single" w:color="1F3864" w:sz="4"/>
          <w:insideH w:val="none" w:color="FFFFFF" w:sz="0"/>
          <w:insideV w:val="none" w:color="FFFFFF" w:sz="0"/>
        </w:tblBorders>
      </w:tblPr>
      <w:tblGrid>
        <w:gridCol w:w="100"/>
      </w:tblGrid>
      <w:tr>
        <w:tc>
          <w:tcPr>
            <w:shd w:fill="EDEEF2" w:val="clear"/>
            <w:tcMar>
              <w:top w:type="dxa" w:w="160"/>
              <w:left w:type="dxa" w:w="220"/>
              <w:bottom w:type="dxa" w:w="160"/>
              <w:right w:type="dxa" w:w="220"/>
            </w:tcMar>
          </w:tcPr>
          <w:p>
            <w:pPr>
              <w:spacing w:after="0" w:line="276"/>
            </w:pPr>
            <w:r>
              <w:rPr>
                <w:b/>
                <w:bCs/>
                <w:color w:val="1F3864"/>
                <w:sz w:val="20"/>
                <w:szCs w:val="20"/>
              </w:rPr>
              <w:t xml:space="preserve">Cross-Reference: </w:t>
            </w:r>
            <w:r>
              <w:rPr>
                <w:color w:val="44546A"/>
                <w:sz w:val="20"/>
                <w:szCs w:val="20"/>
              </w:rPr>
              <w:t xml:space="preserve">The banking details verified in Sections 2.1 and 2.2 are the same “verified settlement bank account” referred to in Section 21 (Fleet Partner Banking Details &amp; Account Security) of the Settlement &amp; Payout Policy (POL-SET-2026-V2), and Proof of Delivery / Proof of Recovery submitted through the Driver App satisfies Section 5 of that policy.</w:t>
            </w:r>
          </w:p>
        </w:tc>
      </w:tr>
    </w:tbl>
    <w:p>
      <w:pPr>
        <w:pStyle w:val="Heading1"/>
        <w:pBdr>
          <w:bottom w:val="single" w:color="1F3864" w:sz="6" w:space="4"/>
        </w:pBdr>
        <w:spacing w:after="160" w:before="360"/>
      </w:pPr>
      <w:r>
        <w:rPr>
          <w:b/>
          <w:bCs/>
          <w:color w:val="1F3864"/>
          <w:sz w:val="26"/>
          <w:szCs w:val="26"/>
        </w:rPr>
        <w:t xml:space="preserve">3. MULTI-STAGE KYC VERIFICATION WORKFLOW</w:t>
      </w:r>
    </w:p>
    <w:p>
      <w:pPr>
        <w:pStyle w:val="ListParagraph"/>
        <w:numPr>
          <w:ilvl w:val="0"/>
          <w:numId w:val="2"/>
        </w:numPr>
        <w:spacing w:after="80" w:line="276"/>
      </w:pPr>
      <w:r>
        <w:rPr>
          <w:sz w:val="21"/>
          <w:szCs w:val="21"/>
        </w:rPr>
        <w:t xml:space="preserve">Data Ingestion: the Driver or Fleet Partner submits personal data, ID, driver's licence, and banking details via the secure encrypted app interface.</w:t>
      </w:r>
    </w:p>
    <w:p>
      <w:pPr>
        <w:pStyle w:val="ListParagraph"/>
        <w:numPr>
          <w:ilvl w:val="0"/>
          <w:numId w:val="2"/>
        </w:numPr>
        <w:spacing w:after="80" w:line="276"/>
      </w:pPr>
      <w:r>
        <w:rPr>
          <w:sz w:val="21"/>
          <w:szCs w:val="21"/>
        </w:rPr>
        <w:t xml:space="preserve">Automated Check: OCR extracts text; liveness facial scan matches the live selfie against the submitted ID photograph.</w:t>
      </w:r>
    </w:p>
    <w:p>
      <w:pPr>
        <w:pStyle w:val="ListParagraph"/>
        <w:numPr>
          <w:ilvl w:val="0"/>
          <w:numId w:val="2"/>
        </w:numPr>
        <w:spacing w:after="80" w:line="276"/>
      </w:pPr>
      <w:r>
        <w:rPr>
          <w:sz w:val="21"/>
          <w:szCs w:val="21"/>
        </w:rPr>
        <w:t xml:space="preserve">Document Audit: the compliance team inspects vehicle insurance, licence disc, and bank-account-ownership alignment.</w:t>
      </w:r>
    </w:p>
    <w:p>
      <w:pPr>
        <w:pStyle w:val="ListParagraph"/>
        <w:numPr>
          <w:ilvl w:val="0"/>
          <w:numId w:val="2"/>
        </w:numPr>
        <w:spacing w:after="80" w:line="276"/>
      </w:pPr>
      <w:r>
        <w:rPr>
          <w:sz w:val="21"/>
          <w:szCs w:val="21"/>
        </w:rPr>
        <w:t xml:space="preserve">Activation &amp; Pay: upon 100% clearance, the transport partner profile is set to Active, enabling job acceptance and merchant payouts.</w:t>
      </w:r>
    </w:p>
    <w:p>
      <w:pPr>
        <w:pStyle w:val="Heading1"/>
        <w:pBdr>
          <w:bottom w:val="single" w:color="1F3864" w:sz="6" w:space="4"/>
        </w:pBdr>
        <w:spacing w:after="160" w:before="360"/>
      </w:pPr>
      <w:r>
        <w:rPr>
          <w:b/>
          <w:bCs/>
          <w:color w:val="1F3864"/>
          <w:sz w:val="26"/>
          <w:szCs w:val="26"/>
        </w:rPr>
        <w:t xml:space="preserve">4. ONGOING MONITORING &amp; RISK MANAGEMENT</w:t>
      </w:r>
    </w:p>
    <w:p>
      <w:pPr>
        <w:pStyle w:val="ListParagraph"/>
        <w:numPr>
          <w:ilvl w:val="0"/>
          <w:numId w:val="2"/>
        </w:numPr>
        <w:spacing w:after="80" w:line="276"/>
      </w:pPr>
      <w:r>
        <w:rPr>
          <w:sz w:val="21"/>
          <w:szCs w:val="21"/>
        </w:rPr>
        <w:t xml:space="preserve">Automated Expiration Tracking: the system prompts Drivers 30 days before the expiry of their driver's licence, PrDP, vehicle licence disc, or insurance policy. Failure to upload renewed documentation results in immediate platform suspension upon expiry.</w:t>
      </w:r>
    </w:p>
    <w:p>
      <w:pPr>
        <w:pStyle w:val="ListParagraph"/>
        <w:numPr>
          <w:ilvl w:val="0"/>
          <w:numId w:val="2"/>
        </w:numPr>
        <w:spacing w:after="80" w:line="276"/>
      </w:pPr>
      <w:r>
        <w:rPr>
          <w:sz w:val="21"/>
          <w:szCs w:val="21"/>
        </w:rPr>
        <w:t xml:space="preserve">Payout Bank Account Integrity (AVS): settlements are strictly locked to bank accounts where the account holder name matches the verified individual or corporate entity. Third-party payouts are strictly prohibited.</w:t>
      </w:r>
    </w:p>
    <w:p>
      <w:pPr>
        <w:pStyle w:val="ListParagraph"/>
        <w:numPr>
          <w:ilvl w:val="0"/>
          <w:numId w:val="2"/>
        </w:numPr>
        <w:spacing w:after="80" w:line="276"/>
      </w:pPr>
      <w:r>
        <w:rPr>
          <w:sz w:val="21"/>
          <w:szCs w:val="21"/>
        </w:rPr>
        <w:t xml:space="preserve">Sanctions &amp; PEP Screening: periodic batch screening of registered entity directors and individuals against international PEP and global sanctions watchlists, as further described in the AML &amp; CFT Compliance Policy (POL-AML-2026-V2).</w:t>
      </w:r>
    </w:p>
    <w:p>
      <w:pPr>
        <w:pStyle w:val="ListParagraph"/>
        <w:numPr>
          <w:ilvl w:val="0"/>
          <w:numId w:val="2"/>
        </w:numPr>
        <w:spacing w:after="80" w:line="276"/>
      </w:pPr>
      <w:r>
        <w:rPr>
          <w:sz w:val="21"/>
          <w:szCs w:val="21"/>
        </w:rPr>
        <w:t xml:space="preserve">Fraud &amp; Abuse Safeguards: real-time device fingerprinting and geolocation tracking help prevent account sharing and unauthorised vehicle usage.</w:t>
      </w:r>
    </w:p>
    <w:p>
      <w:pPr>
        <w:pStyle w:val="Heading1"/>
        <w:pBdr>
          <w:bottom w:val="single" w:color="1F3864" w:sz="6" w:space="4"/>
        </w:pBdr>
        <w:spacing w:after="160" w:before="360"/>
      </w:pPr>
      <w:r>
        <w:rPr>
          <w:b/>
          <w:bCs/>
          <w:color w:val="1F3864"/>
          <w:sz w:val="26"/>
          <w:szCs w:val="26"/>
        </w:rPr>
        <w:t xml:space="preserve">5. DATA PRIVACY, STORAGE &amp; POPIA COMPLIANCE</w:t>
      </w:r>
    </w:p>
    <w:p>
      <w:pPr>
        <w:spacing w:after="160" w:line="276"/>
      </w:pPr>
      <w:r>
        <w:rPr>
          <w:sz w:val="21"/>
          <w:szCs w:val="21"/>
        </w:rPr>
        <w:t xml:space="preserve">In accordance with the Protection of Personal Information Act (POPIA), all KYC data collected by WilteX Direct is encrypted in transit via TLS 1.3 and at rest using AES-256 encryption. Access to compliance records is restricted to authorised compliance personnel. Data is stored for the duration of the operational relationship plus the statutory retention periods required under South African law, consistent with the record-keeping standard in Section 4 of the AML &amp; CFT Compliance Policy (POL-AML-2026-V2).</w:t>
      </w:r>
    </w:p>
    <w:p>
      <w:pPr>
        <w:pStyle w:val="Heading1"/>
        <w:pBdr>
          <w:bottom w:val="single" w:color="1F3864" w:sz="6" w:space="4"/>
        </w:pBdr>
        <w:spacing w:after="160" w:before="360"/>
      </w:pPr>
      <w:r>
        <w:rPr>
          <w:b/>
          <w:bCs/>
          <w:color w:val="1F3864"/>
          <w:sz w:val="26"/>
          <w:szCs w:val="26"/>
        </w:rPr>
        <w:t xml:space="preserve">6. RELATIONSHIP TO OTHER POLICIES</w:t>
      </w:r>
    </w:p>
    <w:p>
      <w:pPr>
        <w:spacing w:after="160" w:line="276"/>
      </w:pPr>
      <w:r>
        <w:rPr>
          <w:sz w:val="21"/>
          <w:szCs w:val="21"/>
        </w:rPr>
        <w:t xml:space="preserve">This policy operates alongside, and does not replace, the Settlement &amp; Payout Policy (POL-SET-2026-V2) and the AML &amp; CFT Compliance Policy (POL-AML-2026-V2). Where this policy is silent on how held funds are handled between verification and payout, POL-SET-2026-V2 applies.</w:t>
      </w:r>
    </w:p>
    <w:p>
      <w:pPr>
        <w:pStyle w:val="Heading1"/>
        <w:pBdr>
          <w:bottom w:val="single" w:color="1F3864" w:sz="6" w:space="4"/>
        </w:pBdr>
        <w:spacing w:after="160" w:before="360"/>
      </w:pPr>
      <w:r>
        <w:rPr>
          <w:b/>
          <w:bCs/>
          <w:color w:val="1F3864"/>
          <w:sz w:val="26"/>
          <w:szCs w:val="26"/>
        </w:rPr>
        <w:t xml:space="preserve">7. GOVERNING LAW</w:t>
      </w:r>
    </w:p>
    <w:p>
      <w:pPr>
        <w:spacing w:after="160" w:line="276"/>
      </w:pPr>
      <w:r>
        <w:rPr>
          <w:sz w:val="21"/>
          <w:szCs w:val="21"/>
        </w:rPr>
        <w:t xml:space="preserve">This policy is governed by the laws of the Republic of South Africa, aligned with FICA 38 of 2001 (as amended) and POPIA 4 of 2013.</w:t>
      </w:r>
    </w:p>
    <w:p>
      <w:pPr>
        <w:pStyle w:val="Heading1"/>
        <w:pBdr>
          <w:bottom w:val="single" w:color="1F3864" w:sz="6" w:space="4"/>
        </w:pBdr>
        <w:spacing w:after="160" w:before="360"/>
      </w:pPr>
      <w:r>
        <w:rPr>
          <w:b/>
          <w:bCs/>
          <w:color w:val="1F3864"/>
          <w:sz w:val="26"/>
          <w:szCs w:val="26"/>
        </w:rPr>
        <w:t xml:space="preserve">8. CONTACT</w:t>
      </w:r>
    </w:p>
    <w:p>
      <w:pPr>
        <w:spacing w:after="160" w:line="276"/>
      </w:pPr>
      <w:r>
        <w:rPr>
          <w:sz w:val="21"/>
          <w:szCs w:val="21"/>
        </w:rPr>
        <w:t xml:space="preserve">WilteX Direct (Pty) Ltd</w:t>
      </w:r>
    </w:p>
    <w:p>
      <w:pPr>
        <w:spacing w:after="160" w:line="276"/>
      </w:pPr>
      <w:r>
        <w:rPr>
          <w:sz w:val="21"/>
          <w:szCs w:val="21"/>
        </w:rPr>
        <w:t xml:space="preserve">Compliance &amp; Risk Management Department</w:t>
      </w:r>
    </w:p>
    <w:p>
      <w:pPr>
        <w:spacing w:after="160" w:line="276"/>
      </w:pPr>
      <w:r>
        <w:rPr>
          <w:sz w:val="21"/>
          <w:szCs w:val="21"/>
        </w:rPr>
        <w:t xml:space="preserve">Email: compliance@wiltex.direct</w:t>
      </w:r>
    </w:p>
    <w:p>
      <w:pPr>
        <w:spacing w:after="160" w:line="276"/>
      </w:pPr>
      <w:r>
        <w:rPr>
          <w:sz w:val="21"/>
          <w:szCs w:val="21"/>
        </w:rPr>
        <w:t xml:space="preserve">Website: https://wiltex.direct</w:t>
      </w:r>
    </w:p>
    <w:p>
      <w:pPr>
        <w:spacing w:after="160" w:line="276"/>
      </w:pPr>
      <w:r>
        <w:rPr>
          <w:sz w:val="21"/>
          <w:szCs w:val="21"/>
        </w:rPr>
        <w:t xml:space="preserve">Johannesburg, South Africa</w:t>
      </w:r>
    </w:p>
    <w:p>
      <w:pPr>
        <w:pBdr>
          <w:top w:val="single" w:color="BFBFBF" w:sz="4" w:space="8"/>
        </w:pBdr>
        <w:spacing w:before="200"/>
      </w:pPr>
      <w:r>
        <w:rPr>
          <w:i/>
          <w:iCs/>
          <w:color w:val="44546A"/>
          <w:sz w:val="18"/>
          <w:szCs w:val="18"/>
        </w:rPr>
        <w:t xml:space="preserve">Document Control Note: This version supersedes POL-KYC-2026-V1 and aligns all domain references, contact details, and cross-references with the WilteX Direct Settlement &amp; Payout Policy (POL-SET-2026-V2), the platform's word of truth on payment mechanics. WilteX Direct is a marketplace platform connecting Customers to independent Fleet Partners; it does not own transport assets.</w:t>
      </w:r>
    </w:p>
    <w:sectPr>
      <w:headerReference w:type="default" r:id="rId7"/>
      <w:footerReference w:type="default" r:id="rId8"/>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BFBF" w:sz="4" w:space="4"/>
      </w:pBdr>
      <w:tabs>
        <w:tab w:val="right" w:pos="9026"/>
      </w:tabs>
    </w:pPr>
    <w:r>
      <w:rPr>
        <w:color w:val="44546A"/>
        <w:sz w:val="16"/>
        <w:szCs w:val="16"/>
      </w:rPr>
      <w:t xml:space="preserve">POL-KYC-2026-V2</w:t>
    </w:r>
    <w:r>
      <w:rPr>
        <w:color w:val="44546A"/>
        <w:sz w:val="16"/>
        <w:szCs w:val="16"/>
      </w:rPr>
      <w:t xml:space="preserve">	Page </w:t>
    </w:r>
    <w:r>
      <w:rPr>
        <w:color w:val="44546A"/>
        <w:sz w:val="16"/>
        <w:szCs w:val="16"/>
      </w:rPr>
      <w:fldChar w:fldCharType="begin"/>
      <w:instrText xml:space="preserve">PAGE</w:instrText>
      <w:fldChar w:fldCharType="separate"/>
      <w:fldChar w:fldCharType="end"/>
    </w:r>
    <w:r>
      <w:rPr>
        <w:color w:val="44546A"/>
        <w:sz w:val="16"/>
        <w:szCs w:val="16"/>
      </w:rPr>
      <w:t xml:space="preserve"> of </w:t>
    </w:r>
    <w:r>
      <w:rPr>
        <w:color w:val="4454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BFBF" w:sz="4" w:space="4"/>
      </w:pBdr>
      <w:tabs>
        <w:tab w:val="right" w:pos="9026"/>
      </w:tabs>
    </w:pPr>
    <w:r>
      <w:rPr>
        <w:b/>
        <w:bCs/>
        <w:color w:val="44546A"/>
        <w:sz w:val="16"/>
        <w:szCs w:val="16"/>
      </w:rPr>
      <w:t xml:space="preserve">WILTEX DIRECT | LEGAL &amp; COMPLIANCE</w:t>
    </w:r>
    <w:r>
      <w:rPr>
        <w:color w:val="44546A"/>
        <w:sz w:val="16"/>
        <w:szCs w:val="16"/>
      </w:rPr>
      <w:t xml:space="preserve">	KYC &amp; Identity Verification Policy V2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2026-08-07T09:57:08.801Z</dcterms:created>
  <dcterms:modified xsi:type="dcterms:W3CDTF">2026-08-07T09:57:08.801Z</dcterms:modified>
</cp:coreProperties>
</file>

<file path=docProps/custom.xml><?xml version="1.0" encoding="utf-8"?>
<Properties xmlns="http://schemas.openxmlformats.org/officeDocument/2006/custom-properties" xmlns:vt="http://schemas.openxmlformats.org/officeDocument/2006/docPropsVTypes"/>
</file>