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3864"/>
          <w:sz w:val="44"/>
          <w:szCs w:val="44"/>
        </w:rPr>
        <w:t xml:space="preserve">WILTEX DIRECT</w:t>
      </w:r>
    </w:p>
    <w:p>
      <w:pPr>
        <w:spacing w:after="260"/>
      </w:pPr>
      <w:r>
        <w:rPr>
          <w:b/>
          <w:bCs/>
          <w:color w:val="44546A"/>
          <w:sz w:val="20"/>
          <w:szCs w:val="20"/>
        </w:rPr>
        <w:t xml:space="preserve">LEGAL &amp; COMPLIANCE POLICY</w:t>
      </w:r>
    </w:p>
    <w:p>
      <w:pPr>
        <w:spacing w:after="60"/>
      </w:pPr>
      <w:r>
        <w:rPr>
          <w:b/>
          <w:bCs/>
          <w:color w:val="1F3864"/>
          <w:sz w:val="30"/>
          <w:szCs w:val="30"/>
        </w:rPr>
        <w:t xml:space="preserve">DISPUTE RESOLUTION POLICY</w:t>
      </w:r>
    </w:p>
    <w:p>
      <w:pPr>
        <w:spacing w:after="240"/>
      </w:pPr>
      <w:r>
        <w:rPr>
          <w:i/>
          <w:iCs/>
          <w:color w:val="44546A"/>
          <w:sz w:val="21"/>
          <w:szCs w:val="21"/>
        </w:rPr>
        <w:t xml:space="preserve">Companion Policy to the Settlement &amp; Payout Policy (POL-SET-2026-V2)</w:t>
      </w:r>
    </w:p>
    <w:tbl>
      <w:tblPr>
        <w:tblW w:type="pct" w:w="100%"/>
        <w:tblBorders>
          <w:top w:val="single" w:color="BFBFBF" w:sz="2"/>
          <w:left w:val="single" w:color="BFBFBF" w:sz="2"/>
          <w:bottom w:val="single" w:color="BFBFBF" w:sz="2"/>
          <w:right w:val="single" w:color="BFBFBF" w:sz="2"/>
          <w:insideH w:val="single" w:color="BFBFBF" w:sz="2"/>
          <w:insideV w:val="single" w:color="BFBFBF" w:sz="2"/>
        </w:tblBorders>
      </w:tblPr>
      <w:tblGrid>
        <w:gridCol w:w="3000"/>
        <w:gridCol w:w="6746"/>
      </w:tblGrid>
      <w:tr>
        <w:tc>
          <w:tcPr>
            <w:tcW w:type="dxa" w:w="3000"/>
            <w:shd w:fill="EDEEF2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6746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sz w:val="20"/>
                <w:szCs w:val="20"/>
              </w:rPr>
              <w:t xml:space="preserve">POL-DSP-2026-V2</w:t>
            </w:r>
          </w:p>
        </w:tc>
      </w:tr>
      <w:tr>
        <w:tc>
          <w:tcPr>
            <w:tcW w:type="dxa" w:w="3000"/>
            <w:shd w:fill="EDEEF2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746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sz w:val="20"/>
                <w:szCs w:val="20"/>
              </w:rPr>
              <w:t xml:space="preserve">August 2026</w:t>
            </w:r>
          </w:p>
        </w:tc>
      </w:tr>
      <w:tr>
        <w:tc>
          <w:tcPr>
            <w:tcW w:type="dxa" w:w="3000"/>
            <w:shd w:fill="EDEEF2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Visibility</w:t>
            </w:r>
          </w:p>
        </w:tc>
        <w:tc>
          <w:tcPr>
            <w:tcW w:type="dxa" w:w="6746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sz w:val="20"/>
                <w:szCs w:val="20"/>
              </w:rPr>
              <w:t xml:space="preserve">Public Document</w:t>
            </w:r>
          </w:p>
        </w:tc>
      </w:tr>
      <w:tr>
        <w:tc>
          <w:tcPr>
            <w:tcW w:type="dxa" w:w="3000"/>
            <w:shd w:fill="EDEEF2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Audience</w:t>
            </w:r>
          </w:p>
        </w:tc>
        <w:tc>
          <w:tcPr>
            <w:tcW w:type="dxa" w:w="6746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sz w:val="20"/>
                <w:szCs w:val="20"/>
              </w:rPr>
              <w:t xml:space="preserve">Customers, Fleet Partners, Payment Partners</w:t>
            </w:r>
          </w:p>
        </w:tc>
      </w:tr>
      <w:tr>
        <w:tc>
          <w:tcPr>
            <w:tcW w:type="dxa" w:w="3000"/>
            <w:shd w:fill="EDEEF2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Policy Status</w:t>
            </w:r>
          </w:p>
        </w:tc>
        <w:tc>
          <w:tcPr>
            <w:tcW w:type="dxa" w:w="6746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sz w:val="20"/>
                <w:szCs w:val="20"/>
              </w:rPr>
              <w:t xml:space="preserve">Operational Policy — supersedes POL-DSP-2026-V1</w:t>
            </w:r>
          </w:p>
        </w:tc>
      </w:tr>
      <w:tr>
        <w:tc>
          <w:tcPr>
            <w:tcW w:type="dxa" w:w="3000"/>
            <w:shd w:fill="EDEEF2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Related Policies</w:t>
            </w:r>
          </w:p>
        </w:tc>
        <w:tc>
          <w:tcPr>
            <w:tcW w:type="dxa" w:w="6746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sz w:val="20"/>
                <w:szCs w:val="20"/>
              </w:rPr>
              <w:t xml:space="preserve">Settlement &amp; Payout Policy (POL-SET-2026-V2); Refund &amp; Cancellation Policy (POL-RFD-2026-V2)</w:t>
            </w:r>
          </w:p>
        </w:tc>
      </w:tr>
    </w:tbl>
    <w:p>
      <w:pPr>
        <w:pStyle w:val="Heading1"/>
        <w:pBdr>
          <w:bottom w:val="single" w:color="1F3864" w:sz="6" w:space="4"/>
        </w:pBdr>
        <w:spacing w:after="160" w:before="360"/>
      </w:pPr>
      <w:r>
        <w:rPr>
          <w:b/>
          <w:bCs/>
          <w:color w:val="1F3864"/>
          <w:sz w:val="26"/>
          <w:szCs w:val="26"/>
        </w:rPr>
        <w:t xml:space="preserve">1. PURPOSE</w:t>
      </w:r>
    </w:p>
    <w:p>
      <w:pPr>
        <w:spacing w:after="160" w:line="276"/>
      </w:pPr>
      <w:r>
        <w:rPr>
          <w:sz w:val="21"/>
          <w:szCs w:val="21"/>
        </w:rPr>
        <w:t xml:space="preserve">WilteX Direct (Pty) Ltd operates a marketplace platform connecting Customers with independent third-party Fleet Partners, Drivers, and Operators who provide freight, towing, recovery, moving, relocation, and delivery services. This Dispute Resolution Policy establishes a structured, impartial, and expedient framework to address and resolve conflicts arising between Customers and Fleet Partners in connection with a booking made through the platform.</w:t>
      </w:r>
    </w:p>
    <w:p>
      <w:pPr>
        <w:pStyle w:val="Heading1"/>
        <w:pBdr>
          <w:bottom w:val="single" w:color="1F3864" w:sz="6" w:space="4"/>
        </w:pBdr>
        <w:spacing w:after="160" w:before="360"/>
      </w:pPr>
      <w:r>
        <w:rPr>
          <w:b/>
          <w:bCs/>
          <w:color w:val="1F3864"/>
          <w:sz w:val="26"/>
          <w:szCs w:val="26"/>
        </w:rPr>
        <w:t xml:space="preserve">2. SCOPE OF DISPUTES &amp; FILING TIMELINES</w:t>
      </w:r>
    </w:p>
    <w:p>
      <w:pPr>
        <w:spacing w:after="160" w:line="276"/>
      </w:pPr>
      <w:r>
        <w:rPr>
          <w:sz w:val="21"/>
          <w:szCs w:val="21"/>
        </w:rPr>
        <w:t xml:space="preserve">Disputes must be formally logged through the WilteX Direct platform within 48 hours of job completion or cancellation. Qualifying dispute grounds include: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sz w:val="21"/>
          <w:szCs w:val="21"/>
        </w:rPr>
        <w:t xml:space="preserve">Cargo Damage or Loss: partial or full physical damage to freight or a vehicle during transit or towing operations.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sz w:val="21"/>
          <w:szCs w:val="21"/>
        </w:rPr>
        <w:t xml:space="preserve">Service Non-Performance / Abandonment: a Driver failing to arrive at pickup or failing to complete delivery or recovery without valid force majeure justification.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sz w:val="21"/>
          <w:szCs w:val="21"/>
        </w:rPr>
        <w:t xml:space="preserve">Fee &amp; Route Discrepancies: unauthorised extra charges, incorrect weight-class billing, or unverified distance deviations.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sz w:val="21"/>
          <w:szCs w:val="21"/>
        </w:rPr>
        <w:t xml:space="preserve">Conduct &amp; Safety Breaches: severe unprofessional behaviour, safety violations, or vehicle misrepresentation.</w:t>
      </w:r>
    </w:p>
    <w:p>
      <w:pPr>
        <w:pStyle w:val="Heading1"/>
        <w:pBdr>
          <w:bottom w:val="single" w:color="1F3864" w:sz="6" w:space="4"/>
        </w:pBdr>
        <w:spacing w:after="160" w:before="360"/>
      </w:pPr>
      <w:r>
        <w:rPr>
          <w:b/>
          <w:bCs/>
          <w:color w:val="1F3864"/>
          <w:sz w:val="26"/>
          <w:szCs w:val="26"/>
        </w:rPr>
        <w:t xml:space="preserve">3. MULTI-TIER RESOLUTION PROCEDURE</w:t>
      </w:r>
    </w:p>
    <w:p>
      <w:pPr>
        <w:spacing w:after="60"/>
      </w:pPr>
    </w:p>
    <w:tbl>
      <w:tblPr>
        <w:tblW w:type="pct" w:w="100%"/>
        <w:tblBorders>
          <w:top w:val="single" w:color="BFBFBF" w:sz="2"/>
          <w:left w:val="single" w:color="BFBFBF" w:sz="2"/>
          <w:bottom w:val="single" w:color="BFBFBF" w:sz="2"/>
          <w:right w:val="single" w:color="BFBFBF" w:sz="2"/>
          <w:insideH w:val="single" w:color="BFBFBF" w:sz="2"/>
          <w:insideV w:val="single" w:color="BFBFBF" w:sz="2"/>
        </w:tblBorders>
      </w:tblPr>
      <w:tblGrid>
        <w:gridCol w:w="700"/>
        <w:gridCol w:w="2400"/>
        <w:gridCol w:w="1700"/>
        <w:gridCol w:w="4946"/>
      </w:tblGrid>
      <w:tr>
        <w:trPr>
          <w:tblHeader/>
        </w:trPr>
        <w:tc>
          <w:tcPr>
            <w:tcW w:type="dxa" w:w="7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Stage</w:t>
            </w:r>
          </w:p>
        </w:tc>
        <w:tc>
          <w:tcPr>
            <w:tcW w:type="dxa" w:w="24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Tier</w:t>
            </w:r>
          </w:p>
        </w:tc>
        <w:tc>
          <w:tcPr>
            <w:tcW w:type="dxa" w:w="17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Timeframe</w:t>
            </w:r>
          </w:p>
        </w:tc>
        <w:tc>
          <w:tcPr>
            <w:tcW w:type="dxa" w:w="4946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Process &amp; Governance</w:t>
            </w:r>
          </w:p>
        </w:tc>
      </w:tr>
      <w:tr>
        <w:tc>
          <w:tcPr>
            <w:tcW w:type="dxa" w:w="7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line="25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24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line="250"/>
            </w:pPr>
            <w:r>
              <w:rPr>
                <w:sz w:val="18"/>
                <w:szCs w:val="18"/>
              </w:rPr>
              <w:t xml:space="preserve">In-App Dispute Logging</w:t>
            </w:r>
          </w:p>
        </w:tc>
        <w:tc>
          <w:tcPr>
            <w:tcW w:type="dxa" w:w="17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line="250"/>
            </w:pPr>
            <w:r>
              <w:rPr>
                <w:sz w:val="18"/>
                <w:szCs w:val="18"/>
              </w:rPr>
              <w:t xml:space="preserve">Within 48 hours</w:t>
            </w:r>
          </w:p>
        </w:tc>
        <w:tc>
          <w:tcPr>
            <w:tcW w:type="dxa" w:w="4946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line="250"/>
            </w:pPr>
            <w:r>
              <w:rPr>
                <w:sz w:val="18"/>
                <w:szCs w:val="18"/>
              </w:rPr>
              <w:t xml:space="preserve">Complainant submits evidence (photographs, messages, route logs) via the app. The related payout is automatically placed On Hold.</w:t>
            </w:r>
          </w:p>
        </w:tc>
      </w:tr>
      <w:tr>
        <w:tc>
          <w:tcPr>
            <w:tcW w:type="dxa" w:w="700"/>
            <w:shd w:fill="EDEEF2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line="25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2400"/>
            <w:shd w:fill="EDEEF2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line="250"/>
            </w:pPr>
            <w:r>
              <w:rPr>
                <w:sz w:val="18"/>
                <w:szCs w:val="18"/>
              </w:rPr>
              <w:t xml:space="preserve">Platform Mediation</w:t>
            </w:r>
          </w:p>
        </w:tc>
        <w:tc>
          <w:tcPr>
            <w:tcW w:type="dxa" w:w="1700"/>
            <w:shd w:fill="EDEEF2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line="250"/>
            </w:pPr>
            <w:r>
              <w:rPr>
                <w:sz w:val="18"/>
                <w:szCs w:val="18"/>
              </w:rPr>
              <w:t xml:space="preserve">3–5 business days</w:t>
            </w:r>
          </w:p>
        </w:tc>
        <w:tc>
          <w:tcPr>
            <w:tcW w:type="dxa" w:w="4946"/>
            <w:shd w:fill="EDEEF2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line="250"/>
            </w:pPr>
            <w:r>
              <w:rPr>
                <w:sz w:val="18"/>
                <w:szCs w:val="18"/>
              </w:rPr>
              <w:t xml:space="preserve">The WilteX Direct Compliance Desk evaluates GPS logs, timestamps, Proof of Delivery / Proof of Recovery, and photographs to reach a binding decision.</w:t>
            </w:r>
          </w:p>
        </w:tc>
      </w:tr>
      <w:tr>
        <w:tc>
          <w:tcPr>
            <w:tcW w:type="dxa" w:w="7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line="25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24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line="250"/>
            </w:pPr>
            <w:r>
              <w:rPr>
                <w:sz w:val="18"/>
                <w:szCs w:val="18"/>
              </w:rPr>
              <w:t xml:space="preserve">Formal Arbitration</w:t>
            </w:r>
          </w:p>
        </w:tc>
        <w:tc>
          <w:tcPr>
            <w:tcW w:type="dxa" w:w="17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line="250"/>
            </w:pPr>
            <w:r>
              <w:rPr>
                <w:sz w:val="18"/>
                <w:szCs w:val="18"/>
              </w:rPr>
              <w:t xml:space="preserve">14 business days</w:t>
            </w:r>
          </w:p>
        </w:tc>
        <w:tc>
          <w:tcPr>
            <w:tcW w:type="dxa" w:w="4946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line="250"/>
            </w:pPr>
            <w:r>
              <w:rPr>
                <w:sz w:val="18"/>
                <w:szCs w:val="18"/>
              </w:rPr>
              <w:t xml:space="preserve">For complex cases above R50,000, matters are escalated to independent arbitration in Johannesburg under AFSA guidelines.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1F3864" w:sz="6" w:space="4"/>
        </w:pBdr>
        <w:spacing w:after="160" w:before="360"/>
      </w:pPr>
      <w:r>
        <w:rPr>
          <w:b/>
          <w:bCs/>
          <w:color w:val="1F3864"/>
          <w:sz w:val="26"/>
          <w:szCs w:val="26"/>
        </w:rPr>
        <w:t xml:space="preserve">4. TEMPORARY PAYMENT HOLD &amp; EVIDENCE REQUIREMENTS</w:t>
      </w:r>
    </w:p>
    <w:p>
      <w:pPr>
        <w:spacing w:after="160" w:line="276"/>
      </w:pPr>
      <w:r>
        <w:rPr>
          <w:sz w:val="21"/>
          <w:szCs w:val="21"/>
        </w:rPr>
        <w:t xml:space="preserve">Mandatory Payment Hold: upon the formal filing of a dispute, the transaction funds affected by that dispute remain held within the licensed payment provider's settlement environment, consistent with Section 14 (Customer Disputes &amp; Payment Holds) of the Settlement &amp; Payout Policy (POL-SET-2026-V2). Neither the Fleet Partner nor the Customer can unilaterally trigger release of those funds until the Compliance Desk has cleared the matter.</w:t>
      </w:r>
    </w:p>
    <w:tbl>
      <w:tblPr>
        <w:tblW w:type="pct" w:w="100%"/>
        <w:tblBorders>
          <w:top w:val="single" w:color="1F3864" w:sz="4"/>
          <w:left w:val="single" w:color="1F3864" w:sz="4"/>
          <w:bottom w:val="single" w:color="1F3864" w:sz="4"/>
          <w:right w:val="single" w:color="1F3864" w:sz="4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EDEEF2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0" w:line="276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Cross-Reference: </w:t>
            </w:r>
            <w:r>
              <w:rPr>
                <w:color w:val="44546A"/>
                <w:sz w:val="20"/>
                <w:szCs w:val="20"/>
              </w:rPr>
              <w:t xml:space="preserve">As set out in Section 14 of POL-SET-2026-V2, a hold placed under this policy is ordinarily restricted to the affected transaction; unrelated approved transactions continue through the normal Weekly Settlement Cycle described in Sections 7 and 8 of that policy unless independently affected by the same dispute.</w:t>
            </w:r>
          </w:p>
        </w:tc>
      </w:tr>
    </w:tbl>
    <w:p>
      <w:pPr>
        <w:pStyle w:val="Heading1"/>
        <w:pBdr>
          <w:bottom w:val="single" w:color="1F3864" w:sz="6" w:space="4"/>
        </w:pBdr>
        <w:spacing w:after="160" w:before="360"/>
      </w:pPr>
      <w:r>
        <w:rPr>
          <w:b/>
          <w:bCs/>
          <w:color w:val="1F3864"/>
          <w:sz w:val="26"/>
          <w:szCs w:val="26"/>
        </w:rPr>
        <w:t xml:space="preserve">5. BINDING NATURE OF DECISIONS</w:t>
      </w:r>
    </w:p>
    <w:p>
      <w:pPr>
        <w:spacing w:after="160" w:line="276"/>
      </w:pPr>
      <w:r>
        <w:rPr>
          <w:sz w:val="21"/>
          <w:szCs w:val="21"/>
        </w:rPr>
        <w:t xml:space="preserve">WilteX Direct platform decisions regarding payout releases, partial fee deductions, or Customer refunds are binding within the platform ecosystem. Persistent bad-faith disputes or fraudulent claims may result in immediate profile suspension and referral to legal authorities.</w:t>
      </w:r>
    </w:p>
    <w:p>
      <w:pPr>
        <w:pStyle w:val="Heading1"/>
        <w:pBdr>
          <w:bottom w:val="single" w:color="1F3864" w:sz="6" w:space="4"/>
        </w:pBdr>
        <w:spacing w:after="160" w:before="360"/>
      </w:pPr>
      <w:r>
        <w:rPr>
          <w:b/>
          <w:bCs/>
          <w:color w:val="1F3864"/>
          <w:sz w:val="26"/>
          <w:szCs w:val="26"/>
        </w:rPr>
        <w:t xml:space="preserve">6. RELATIONSHIP TO OTHER POLICIES</w:t>
      </w:r>
    </w:p>
    <w:p>
      <w:pPr>
        <w:spacing w:after="160" w:line="276"/>
      </w:pPr>
      <w:r>
        <w:rPr>
          <w:sz w:val="21"/>
          <w:szCs w:val="21"/>
        </w:rPr>
        <w:t xml:space="preserve">This policy operates alongside, and does not replace, the Settlement &amp; Payout Policy (POL-SET-2026-V2) and the Refund &amp; Cancellation Policy (POL-RFD-2026-V2). Where a dispute results in a refund, the eligibility and mechanics of that refund follow POL-RFD-2026-V2. Where a dispute affects a Fleet Partner settlement, the hold, review, and release mechanics follow Sections 9, 14, and 15 of POL-SET-2026-V2.</w:t>
      </w:r>
    </w:p>
    <w:p>
      <w:pPr>
        <w:pStyle w:val="Heading1"/>
        <w:pBdr>
          <w:bottom w:val="single" w:color="1F3864" w:sz="6" w:space="4"/>
        </w:pBdr>
        <w:spacing w:after="160" w:before="360"/>
      </w:pPr>
      <w:r>
        <w:rPr>
          <w:b/>
          <w:bCs/>
          <w:color w:val="1F3864"/>
          <w:sz w:val="26"/>
          <w:szCs w:val="26"/>
        </w:rPr>
        <w:t xml:space="preserve">7. GOVERNING LAW</w:t>
      </w:r>
    </w:p>
    <w:p>
      <w:pPr>
        <w:spacing w:after="160" w:line="276"/>
      </w:pPr>
      <w:r>
        <w:rPr>
          <w:sz w:val="21"/>
          <w:szCs w:val="21"/>
        </w:rPr>
        <w:t xml:space="preserve">This policy is governed by the laws of the Republic of South Africa. Formal arbitration referred to in Section 3 is conducted in Johannesburg under the rules of the Arbitration Foundation of Southern Africa (AFSA).</w:t>
      </w:r>
    </w:p>
    <w:p>
      <w:pPr>
        <w:pStyle w:val="Heading1"/>
        <w:pBdr>
          <w:bottom w:val="single" w:color="1F3864" w:sz="6" w:space="4"/>
        </w:pBdr>
        <w:spacing w:after="160" w:before="360"/>
      </w:pPr>
      <w:r>
        <w:rPr>
          <w:b/>
          <w:bCs/>
          <w:color w:val="1F3864"/>
          <w:sz w:val="26"/>
          <w:szCs w:val="26"/>
        </w:rPr>
        <w:t xml:space="preserve">8. CONTACT</w:t>
      </w:r>
    </w:p>
    <w:p>
      <w:pPr>
        <w:spacing w:after="160" w:line="276"/>
      </w:pPr>
      <w:r>
        <w:rPr>
          <w:sz w:val="21"/>
          <w:szCs w:val="21"/>
        </w:rPr>
        <w:t xml:space="preserve">WilteX Direct (Pty) Ltd</w:t>
      </w:r>
    </w:p>
    <w:p>
      <w:pPr>
        <w:spacing w:after="160" w:line="276"/>
      </w:pPr>
      <w:r>
        <w:rPr>
          <w:sz w:val="21"/>
          <w:szCs w:val="21"/>
        </w:rPr>
        <w:t xml:space="preserve">Legal &amp; Compliance Division</w:t>
      </w:r>
    </w:p>
    <w:p>
      <w:pPr>
        <w:spacing w:after="160" w:line="276"/>
      </w:pPr>
      <w:r>
        <w:rPr>
          <w:sz w:val="21"/>
          <w:szCs w:val="21"/>
        </w:rPr>
        <w:t xml:space="preserve">Email: legal@wiltex.direct</w:t>
      </w:r>
    </w:p>
    <w:p>
      <w:pPr>
        <w:spacing w:after="160" w:line="276"/>
      </w:pPr>
      <w:r>
        <w:rPr>
          <w:sz w:val="21"/>
          <w:szCs w:val="21"/>
        </w:rPr>
        <w:t xml:space="preserve">Website: https://wiltex.direct/legal/disputes</w:t>
      </w:r>
    </w:p>
    <w:p>
      <w:pPr>
        <w:spacing w:after="160" w:line="276"/>
      </w:pPr>
      <w:r>
        <w:rPr>
          <w:sz w:val="21"/>
          <w:szCs w:val="21"/>
        </w:rPr>
        <w:t xml:space="preserve">Johannesburg, South Africa</w:t>
      </w:r>
    </w:p>
    <w:p>
      <w:pPr>
        <w:pBdr>
          <w:top w:val="single" w:color="BFBFBF" w:sz="4" w:space="8"/>
        </w:pBdr>
        <w:spacing w:before="200"/>
      </w:pPr>
      <w:r>
        <w:rPr>
          <w:i/>
          <w:iCs/>
          <w:color w:val="44546A"/>
          <w:sz w:val="18"/>
          <w:szCs w:val="18"/>
        </w:rPr>
        <w:t xml:space="preserve">Document Control Note: This version supersedes POL-DSP-2026-V1 and aligns all domain references, contact details, and payment-hold terminology with the WilteX Direct Settlement &amp; Payout Policy (POL-SET-2026-V2), the platform's word of truth on payment mechanics. WilteX Direct is a marketplace platform connecting Customers to independent Fleet Partners; it does not own transport assets.</w:t>
      </w:r>
    </w:p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4"/>
      </w:pBdr>
      <w:tabs>
        <w:tab w:val="right" w:pos="9026"/>
      </w:tabs>
    </w:pPr>
    <w:r>
      <w:rPr>
        <w:color w:val="44546A"/>
        <w:sz w:val="16"/>
        <w:szCs w:val="16"/>
      </w:rPr>
      <w:t xml:space="preserve">POL-DSP-2026-V2</w:t>
    </w:r>
    <w:r>
      <w:rPr>
        <w:color w:val="44546A"/>
        <w:sz w:val="16"/>
        <w:szCs w:val="16"/>
      </w:rPr>
      <w:t xml:space="preserve">	Page </w:t>
    </w:r>
    <w:r>
      <w:rPr>
        <w:color w:val="44546A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44546A"/>
        <w:sz w:val="16"/>
        <w:szCs w:val="16"/>
      </w:rPr>
      <w:t xml:space="preserve"> of </w:t>
    </w:r>
    <w:r>
      <w:rPr>
        <w:color w:val="44546A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BFBF" w:sz="4" w:space="4"/>
      </w:pBdr>
      <w:tabs>
        <w:tab w:val="right" w:pos="9026"/>
      </w:tabs>
    </w:pPr>
    <w:r>
      <w:rPr>
        <w:b/>
        <w:bCs/>
        <w:color w:val="44546A"/>
        <w:sz w:val="16"/>
        <w:szCs w:val="16"/>
      </w:rPr>
      <w:t xml:space="preserve">WILTEX DIRECT | LEGAL &amp; COMPLIANCE</w:t>
    </w:r>
    <w:r>
      <w:rPr>
        <w:color w:val="44546A"/>
        <w:sz w:val="16"/>
        <w:szCs w:val="16"/>
      </w:rPr>
      <w:t xml:space="preserve">	Dispute Resolution Policy V2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2026-08-07T09:56:34.624Z</dcterms:created>
  <dcterms:modified xsi:type="dcterms:W3CDTF">2026-08-07T09:56:34.624Z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