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3864"/>
          <w:sz w:val="44"/>
          <w:szCs w:val="44"/>
        </w:rPr>
        <w:t xml:space="preserve">WILTEX DIRECT</w:t>
      </w:r>
    </w:p>
    <w:p>
      <w:pPr>
        <w:spacing w:after="260"/>
      </w:pPr>
      <w:r>
        <w:rPr>
          <w:b/>
          <w:bCs/>
          <w:color w:val="44546A"/>
          <w:sz w:val="20"/>
          <w:szCs w:val="20"/>
        </w:rPr>
        <w:t xml:space="preserve">REGULATORY COMPLIANCE</w:t>
      </w:r>
    </w:p>
    <w:p>
      <w:pPr>
        <w:spacing w:after="60"/>
      </w:pPr>
      <w:r>
        <w:rPr>
          <w:b/>
          <w:bCs/>
          <w:color w:val="1F3864"/>
          <w:sz w:val="30"/>
          <w:szCs w:val="30"/>
        </w:rPr>
        <w:t xml:space="preserve">AML &amp; CFT COMPLIANCE POLICY</w:t>
      </w:r>
    </w:p>
    <w:p>
      <w:pPr>
        <w:spacing w:after="240"/>
      </w:pPr>
      <w:r>
        <w:rPr>
          <w:i/>
          <w:iCs/>
          <w:color w:val="44546A"/>
          <w:sz w:val="21"/>
          <w:szCs w:val="21"/>
        </w:rPr>
        <w:t xml:space="preserve">Companion Policy to the Settlement &amp; Payout Policy (POL-SET-2026-V2)</w:t>
      </w: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3000"/>
        <w:gridCol w:w="6746"/>
      </w:tblGrid>
      <w:tr>
        <w:tc>
          <w:tcPr>
            <w:tcW w:type="dxa" w:w="3000"/>
            <w:shd w:fill="EDEEF2" w:val="clear"/>
            <w:tcMar>
              <w:top w:type="dxa" w:w="100"/>
              <w:left w:type="dxa" w:w="160"/>
              <w:bottom w:type="dxa" w:w="100"/>
              <w:right w:type="dxa" w:w="160"/>
            </w:tcMar>
            <w:vAlign w:val="center"/>
          </w:tcPr>
          <w:p>
            <w:r>
              <w:rPr>
                <w:b/>
                <w:bCs/>
                <w:color w:val="1F3864"/>
                <w:sz w:val="20"/>
                <w:szCs w:val="20"/>
              </w:rPr>
              <w:t xml:space="preserve">Document Reference</w:t>
            </w:r>
          </w:p>
        </w:tc>
        <w:tc>
          <w:tcPr>
            <w:tcW w:type="dxa" w:w="6746"/>
            <w:tcMar>
              <w:top w:type="dxa" w:w="100"/>
              <w:left w:type="dxa" w:w="160"/>
              <w:bottom w:type="dxa" w:w="100"/>
              <w:right w:type="dxa" w:w="160"/>
            </w:tcMar>
            <w:vAlign w:val="center"/>
          </w:tcPr>
          <w:p>
            <w:r>
              <w:rPr>
                <w:sz w:val="20"/>
                <w:szCs w:val="20"/>
              </w:rPr>
              <w:t xml:space="preserve">POL-AML-2026-V2</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Effective Date</w:t>
            </w:r>
          </w:p>
        </w:tc>
        <w:tc>
          <w:tcPr>
            <w:tcW w:type="dxa" w:w="6746"/>
            <w:tcMar>
              <w:top w:type="dxa" w:w="100"/>
              <w:left w:type="dxa" w:w="160"/>
              <w:bottom w:type="dxa" w:w="100"/>
              <w:right w:type="dxa" w:w="160"/>
            </w:tcMar>
            <w:vAlign w:val="center"/>
          </w:tcPr>
          <w:p>
            <w:r>
              <w:rPr>
                <w:sz w:val="20"/>
                <w:szCs w:val="20"/>
              </w:rPr>
              <w:t xml:space="preserve">August 2026</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Visibility</w:t>
            </w:r>
          </w:p>
        </w:tc>
        <w:tc>
          <w:tcPr>
            <w:tcW w:type="dxa" w:w="6746"/>
            <w:tcMar>
              <w:top w:type="dxa" w:w="100"/>
              <w:left w:type="dxa" w:w="160"/>
              <w:bottom w:type="dxa" w:w="100"/>
              <w:right w:type="dxa" w:w="160"/>
            </w:tcMar>
            <w:vAlign w:val="center"/>
          </w:tcPr>
          <w:p>
            <w:r>
              <w:rPr>
                <w:sz w:val="20"/>
                <w:szCs w:val="20"/>
              </w:rPr>
              <w:t xml:space="preserve">Regulators &amp; Payment Partners</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Audience</w:t>
            </w:r>
          </w:p>
        </w:tc>
        <w:tc>
          <w:tcPr>
            <w:tcW w:type="dxa" w:w="6746"/>
            <w:tcMar>
              <w:top w:type="dxa" w:w="100"/>
              <w:left w:type="dxa" w:w="160"/>
              <w:bottom w:type="dxa" w:w="100"/>
              <w:right w:type="dxa" w:w="160"/>
            </w:tcMar>
            <w:vAlign w:val="center"/>
          </w:tcPr>
          <w:p>
            <w:r>
              <w:rPr>
                <w:sz w:val="20"/>
                <w:szCs w:val="20"/>
              </w:rPr>
              <w:t xml:space="preserve">Regulators, Payment Partners, Fleet Partners</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Policy Status</w:t>
            </w:r>
          </w:p>
        </w:tc>
        <w:tc>
          <w:tcPr>
            <w:tcW w:type="dxa" w:w="6746"/>
            <w:tcMar>
              <w:top w:type="dxa" w:w="100"/>
              <w:left w:type="dxa" w:w="160"/>
              <w:bottom w:type="dxa" w:w="100"/>
              <w:right w:type="dxa" w:w="160"/>
            </w:tcMar>
            <w:vAlign w:val="center"/>
          </w:tcPr>
          <w:p>
            <w:r>
              <w:rPr>
                <w:sz w:val="20"/>
                <w:szCs w:val="20"/>
              </w:rPr>
              <w:t xml:space="preserve">Auditable / Active — supersedes POL-AML-2026-V1</w:t>
            </w:r>
          </w:p>
        </w:tc>
      </w:tr>
      <w:tr>
        <w:tc>
          <w:tcPr>
            <w:tcW w:type="dxa" w:w="3000"/>
            <w:shd w:fill="EDEEF2" w:val="clear"/>
            <w:tcMar>
              <w:top w:type="dxa" w:w="100"/>
              <w:left w:type="dxa" w:w="160"/>
              <w:bottom w:type="dxa" w:w="100"/>
              <w:right w:type="dxa" w:w="160"/>
            </w:tcMar>
            <w:vAlign w:val="center"/>
          </w:tcPr>
          <w:p>
            <w:r>
              <w:rPr>
                <w:b/>
                <w:bCs/>
                <w:color w:val="1F3864"/>
                <w:sz w:val="20"/>
                <w:szCs w:val="20"/>
              </w:rPr>
              <w:t xml:space="preserve">Related Policies</w:t>
            </w:r>
          </w:p>
        </w:tc>
        <w:tc>
          <w:tcPr>
            <w:tcW w:type="dxa" w:w="6746"/>
            <w:tcMar>
              <w:top w:type="dxa" w:w="100"/>
              <w:left w:type="dxa" w:w="160"/>
              <w:bottom w:type="dxa" w:w="100"/>
              <w:right w:type="dxa" w:w="160"/>
            </w:tcMar>
            <w:vAlign w:val="center"/>
          </w:tcPr>
          <w:p>
            <w:r>
              <w:rPr>
                <w:sz w:val="20"/>
                <w:szCs w:val="20"/>
              </w:rPr>
              <w:t xml:space="preserve">Settlement &amp; Payout Policy (POL-SET-2026-V2); KYC &amp; Identity Verification Policy (POL-KYC-2026-V2); Dispute Resolution Policy (POL-DSP-2026-V2)</w:t>
            </w:r>
          </w:p>
        </w:tc>
      </w:tr>
    </w:tbl>
    <w:p>
      <w:pPr>
        <w:pStyle w:val="Heading1"/>
        <w:pBdr>
          <w:bottom w:val="single" w:color="1F3864" w:sz="6" w:space="4"/>
        </w:pBdr>
        <w:spacing w:after="160" w:before="360"/>
      </w:pPr>
      <w:r>
        <w:rPr>
          <w:b/>
          <w:bCs/>
          <w:color w:val="1F3864"/>
          <w:sz w:val="26"/>
          <w:szCs w:val="26"/>
        </w:rPr>
        <w:t xml:space="preserve">1. PURPOSE &amp; STATUTORY COMMITMENT</w:t>
      </w:r>
    </w:p>
    <w:p>
      <w:pPr>
        <w:spacing w:after="160" w:line="276"/>
      </w:pPr>
      <w:r>
        <w:rPr>
          <w:sz w:val="21"/>
          <w:szCs w:val="21"/>
        </w:rPr>
        <w:t xml:space="preserve">WilteX Direct (Pty) Ltd (“WilteX Direct”) maintains zero tolerance for money laundering, terrorist financing, proliferation financing, and financial crime conducted through the platform. This Anti-Money Laundering (AML) and Counter-Financing of Terrorism (CFT) Policy complies with the Financial Intelligence Centre Act (FICA) 38 of 2001, the Prevention of Organised Crime Act (POCA) 121 of 1998, and the compliance directives of WilteX Direct's South African banking and payment partners.</w:t>
      </w:r>
    </w:p>
    <w:p>
      <w:pPr>
        <w:spacing w:after="160" w:line="276"/>
      </w:pPr>
      <w:r>
        <w:rPr>
          <w:sz w:val="21"/>
          <w:szCs w:val="21"/>
        </w:rPr>
        <w:t xml:space="preserve">WilteX Direct operates a marketplace platform connecting Customers with independent Fleet Partners, Drivers, and Operators who provide freight, towing, recovery, moving, relocation, and delivery services. WilteX Direct does not own the vehicles or transport assets used to fulfil bookings; this policy governs the financial-crime controls WilteX Direct applies to money that moves across the platform between Customers, WilteX Direct, and Fleet Partners.</w:t>
      </w:r>
    </w:p>
    <w:p>
      <w:pPr>
        <w:pStyle w:val="Heading1"/>
        <w:pBdr>
          <w:bottom w:val="single" w:color="1F3864" w:sz="6" w:space="4"/>
        </w:pBdr>
        <w:spacing w:after="160" w:before="360"/>
      </w:pPr>
      <w:r>
        <w:rPr>
          <w:b/>
          <w:bCs/>
          <w:color w:val="1F3864"/>
          <w:sz w:val="26"/>
          <w:szCs w:val="26"/>
        </w:rPr>
        <w:t xml:space="preserve">2. RISK-BASED CUSTOMER DUE DILIGENCE (CDD)</w:t>
      </w:r>
    </w:p>
    <w:p>
      <w:pPr>
        <w:spacing w:after="160" w:line="276"/>
      </w:pPr>
      <w:r>
        <w:rPr>
          <w:sz w:val="21"/>
          <w:szCs w:val="21"/>
        </w:rPr>
        <w:t xml:space="preserve">All platform actors undergo risk-based identity screening linked to transaction thresholds and activity profiles:</w:t>
      </w:r>
    </w:p>
    <w:p>
      <w:pPr>
        <w:pStyle w:val="ListParagraph"/>
        <w:numPr>
          <w:ilvl w:val="0"/>
          <w:numId w:val="2"/>
        </w:numPr>
        <w:spacing w:after="80" w:line="276"/>
      </w:pPr>
      <w:r>
        <w:rPr>
          <w:sz w:val="21"/>
          <w:szCs w:val="21"/>
        </w:rPr>
        <w:t xml:space="preserve">Individual &amp; Corporate Verification: mandatory identity, registration, and banking validation prior to enabling transaction capabilities, as set out in the KYC &amp; Identity Verification Policy (POL-KYC-2026-V2).</w:t>
      </w:r>
    </w:p>
    <w:p>
      <w:pPr>
        <w:pStyle w:val="ListParagraph"/>
        <w:numPr>
          <w:ilvl w:val="0"/>
          <w:numId w:val="2"/>
        </w:numPr>
        <w:spacing w:after="80" w:line="276"/>
      </w:pPr>
      <w:r>
        <w:rPr>
          <w:sz w:val="21"/>
          <w:szCs w:val="21"/>
        </w:rPr>
        <w:t xml:space="preserve">Politically Exposed Persons (PEP) Screening: automated batch matching of platform users and company directors against global PEP and targeted financial sanctions watchlists.</w:t>
      </w:r>
    </w:p>
    <w:p>
      <w:pPr>
        <w:pStyle w:val="ListParagraph"/>
        <w:numPr>
          <w:ilvl w:val="0"/>
          <w:numId w:val="2"/>
        </w:numPr>
        <w:spacing w:after="80" w:line="276"/>
      </w:pPr>
      <w:r>
        <w:rPr>
          <w:sz w:val="21"/>
          <w:szCs w:val="21"/>
        </w:rPr>
        <w:t xml:space="preserve">Sanctions Check Filters: immediate blocking of individuals or entities listed on UN, OFAC, or South African Financial Intelligence Centre (FIC) sanctions registers.</w:t>
      </w:r>
    </w:p>
    <w:tbl>
      <w:tblPr>
        <w:tblW w:type="pct" w:w="100%"/>
        <w:tblBorders>
          <w:top w:val="single" w:color="1F3864" w:sz="4"/>
          <w:left w:val="single" w:color="1F3864" w:sz="4"/>
          <w:bottom w:val="single" w:color="1F3864" w:sz="4"/>
          <w:right w:val="single" w:color="1F3864" w:sz="4"/>
          <w:insideH w:val="none" w:color="FFFFFF" w:sz="0"/>
          <w:insideV w:val="none" w:color="FFFFFF" w:sz="0"/>
        </w:tblBorders>
      </w:tblPr>
      <w:tblGrid>
        <w:gridCol w:w="100"/>
      </w:tblGrid>
      <w:tr>
        <w:tc>
          <w:tcPr>
            <w:shd w:fill="EDEEF2" w:val="clear"/>
            <w:tcMar>
              <w:top w:type="dxa" w:w="160"/>
              <w:left w:type="dxa" w:w="220"/>
              <w:bottom w:type="dxa" w:w="160"/>
              <w:right w:type="dxa" w:w="220"/>
            </w:tcMar>
          </w:tcPr>
          <w:p>
            <w:pPr>
              <w:spacing w:after="0" w:line="276"/>
            </w:pPr>
            <w:r>
              <w:rPr>
                <w:b/>
                <w:bCs/>
                <w:color w:val="1F3864"/>
                <w:sz w:val="20"/>
                <w:szCs w:val="20"/>
              </w:rPr>
              <w:t xml:space="preserve">Cross-Reference: </w:t>
            </w:r>
            <w:r>
              <w:rPr>
                <w:color w:val="44546A"/>
                <w:sz w:val="20"/>
                <w:szCs w:val="20"/>
              </w:rPr>
              <w:t xml:space="preserve">The identity, document, and banking checks referenced above are defined in full in the KYC &amp; Identity Verification Policy (POL-KYC-2026-V2), and the resulting verified bank account is the same “verified settlement bank account” referred to in Section 21 of the Settlement &amp; Payout Policy (POL-SET-2026-V2).</w:t>
            </w:r>
          </w:p>
        </w:tc>
      </w:tr>
    </w:tbl>
    <w:p>
      <w:pPr>
        <w:pStyle w:val="Heading1"/>
        <w:pBdr>
          <w:bottom w:val="single" w:color="1F3864" w:sz="6" w:space="4"/>
        </w:pBdr>
        <w:spacing w:after="160" w:before="360"/>
      </w:pPr>
      <w:r>
        <w:rPr>
          <w:b/>
          <w:bCs/>
          <w:color w:val="1F3864"/>
          <w:sz w:val="26"/>
          <w:szCs w:val="26"/>
        </w:rPr>
        <w:t xml:space="preserve">3. TRANSACTION MONITORING &amp; SUSPICIOUS ACTIVITY REPORTING</w:t>
      </w:r>
    </w:p>
    <w:p>
      <w:pPr>
        <w:spacing w:after="160" w:line="276"/>
      </w:pPr>
      <w:r>
        <w:rPr>
          <w:sz w:val="21"/>
          <w:szCs w:val="21"/>
        </w:rPr>
        <w:t xml:space="preserve">WilteX Direct's automated transaction monitoring engines analyse real-time platform payment velocity and routing patterns. Indicators treated as red flags include:</w:t>
      </w:r>
    </w:p>
    <w:p>
      <w:pPr>
        <w:spacing w:after="60"/>
      </w:pPr>
    </w:p>
    <w:tbl>
      <w:tblPr>
        <w:tblW w:type="pct" w:w="100%"/>
        <w:tblBorders>
          <w:top w:val="single" w:color="BFBFBF" w:sz="2"/>
          <w:left w:val="single" w:color="BFBFBF" w:sz="2"/>
          <w:bottom w:val="single" w:color="BFBFBF" w:sz="2"/>
          <w:right w:val="single" w:color="BFBFBF" w:sz="2"/>
          <w:insideH w:val="single" w:color="BFBFBF" w:sz="2"/>
          <w:insideV w:val="single" w:color="BFBFBF" w:sz="2"/>
        </w:tblBorders>
      </w:tblPr>
      <w:tblGrid>
        <w:gridCol w:w="2600"/>
        <w:gridCol w:w="3800"/>
        <w:gridCol w:w="3346"/>
      </w:tblGrid>
      <w:tr>
        <w:trPr>
          <w:tblHeader/>
        </w:trPr>
        <w:tc>
          <w:tcPr>
            <w:tcW w:type="dxa" w:w="2600"/>
            <w:shd w:fill="1F3864" w:val="clear"/>
            <w:tcMar>
              <w:top w:type="dxa" w:w="100"/>
              <w:left w:type="dxa" w:w="120"/>
              <w:bottom w:type="dxa" w:w="100"/>
              <w:right w:type="dxa" w:w="120"/>
            </w:tcMar>
            <w:vAlign w:val="center"/>
          </w:tcPr>
          <w:p>
            <w:r>
              <w:rPr>
                <w:b/>
                <w:bCs/>
                <w:color w:val="FFFFFF"/>
                <w:sz w:val="19"/>
                <w:szCs w:val="19"/>
              </w:rPr>
              <w:t xml:space="preserve">Red Flag Indicator</w:t>
            </w:r>
          </w:p>
        </w:tc>
        <w:tc>
          <w:tcPr>
            <w:tcW w:type="dxa" w:w="3800"/>
            <w:shd w:fill="1F3864" w:val="clear"/>
            <w:tcMar>
              <w:top w:type="dxa" w:w="100"/>
              <w:left w:type="dxa" w:w="120"/>
              <w:bottom w:type="dxa" w:w="100"/>
              <w:right w:type="dxa" w:w="120"/>
            </w:tcMar>
            <w:vAlign w:val="center"/>
          </w:tcPr>
          <w:p>
            <w:r>
              <w:rPr>
                <w:b/>
                <w:bCs/>
                <w:color w:val="FFFFFF"/>
                <w:sz w:val="19"/>
                <w:szCs w:val="19"/>
              </w:rPr>
              <w:t xml:space="preserve">Operational Trigger</w:t>
            </w:r>
          </w:p>
        </w:tc>
        <w:tc>
          <w:tcPr>
            <w:tcW w:type="dxa" w:w="3346"/>
            <w:shd w:fill="1F3864" w:val="clear"/>
            <w:tcMar>
              <w:top w:type="dxa" w:w="100"/>
              <w:left w:type="dxa" w:w="120"/>
              <w:bottom w:type="dxa" w:w="100"/>
              <w:right w:type="dxa" w:w="120"/>
            </w:tcMar>
            <w:vAlign w:val="center"/>
          </w:tcPr>
          <w:p>
            <w:r>
              <w:rPr>
                <w:b/>
                <w:bCs/>
                <w:color w:val="FFFFFF"/>
                <w:sz w:val="19"/>
                <w:szCs w:val="19"/>
              </w:rPr>
              <w:t xml:space="preserve">Compliance Action</w:t>
            </w:r>
          </w:p>
        </w:tc>
      </w:tr>
      <w:tr>
        <w:tc>
          <w:tcPr>
            <w:tcW w:type="dxa" w:w="2600"/>
            <w:shd w:fill="FFFFFF" w:val="clear"/>
            <w:tcMar>
              <w:top w:type="dxa" w:w="90"/>
              <w:left w:type="dxa" w:w="120"/>
              <w:bottom w:type="dxa" w:w="90"/>
              <w:right w:type="dxa" w:w="120"/>
            </w:tcMar>
            <w:vAlign w:val="center"/>
          </w:tcPr>
          <w:p>
            <w:pPr>
              <w:spacing w:line="250"/>
            </w:pPr>
            <w:r>
              <w:rPr>
                <w:sz w:val="18"/>
                <w:szCs w:val="18"/>
              </w:rPr>
              <w:t xml:space="preserve">Rapid Payout Velocity</w:t>
            </w:r>
          </w:p>
        </w:tc>
        <w:tc>
          <w:tcPr>
            <w:tcW w:type="dxa" w:w="3800"/>
            <w:shd w:fill="FFFFFF" w:val="clear"/>
            <w:tcMar>
              <w:top w:type="dxa" w:w="90"/>
              <w:left w:type="dxa" w:w="120"/>
              <w:bottom w:type="dxa" w:w="90"/>
              <w:right w:type="dxa" w:w="120"/>
            </w:tcMar>
            <w:vAlign w:val="center"/>
          </w:tcPr>
          <w:p>
            <w:pPr>
              <w:spacing w:line="250"/>
            </w:pPr>
            <w:r>
              <w:rPr>
                <w:sz w:val="18"/>
                <w:szCs w:val="18"/>
              </w:rPr>
              <w:t xml:space="preserve">Multiple high-value bookings cancelled immediately after payment to force refund dispatches.</w:t>
            </w:r>
          </w:p>
        </w:tc>
        <w:tc>
          <w:tcPr>
            <w:tcW w:type="dxa" w:w="3346"/>
            <w:shd w:fill="FFFFFF" w:val="clear"/>
            <w:tcMar>
              <w:top w:type="dxa" w:w="90"/>
              <w:left w:type="dxa" w:w="120"/>
              <w:bottom w:type="dxa" w:w="90"/>
              <w:right w:type="dxa" w:w="120"/>
            </w:tcMar>
            <w:vAlign w:val="center"/>
          </w:tcPr>
          <w:p>
            <w:pPr>
              <w:spacing w:line="250"/>
            </w:pPr>
            <w:r>
              <w:rPr>
                <w:sz w:val="18"/>
                <w:szCs w:val="18"/>
              </w:rPr>
              <w:t xml:space="preserve">Immediate payment freeze and AML investigation.</w:t>
            </w:r>
          </w:p>
        </w:tc>
      </w:tr>
      <w:tr>
        <w:tc>
          <w:tcPr>
            <w:tcW w:type="dxa" w:w="2600"/>
            <w:shd w:fill="EDEEF2" w:val="clear"/>
            <w:tcMar>
              <w:top w:type="dxa" w:w="90"/>
              <w:left w:type="dxa" w:w="120"/>
              <w:bottom w:type="dxa" w:w="90"/>
              <w:right w:type="dxa" w:w="120"/>
            </w:tcMar>
            <w:vAlign w:val="center"/>
          </w:tcPr>
          <w:p>
            <w:pPr>
              <w:spacing w:line="250"/>
            </w:pPr>
            <w:r>
              <w:rPr>
                <w:sz w:val="18"/>
                <w:szCs w:val="18"/>
              </w:rPr>
              <w:t xml:space="preserve">Structured Transactions (Structuring)</w:t>
            </w:r>
          </w:p>
        </w:tc>
        <w:tc>
          <w:tcPr>
            <w:tcW w:type="dxa" w:w="3800"/>
            <w:shd w:fill="EDEEF2" w:val="clear"/>
            <w:tcMar>
              <w:top w:type="dxa" w:w="90"/>
              <w:left w:type="dxa" w:w="120"/>
              <w:bottom w:type="dxa" w:w="90"/>
              <w:right w:type="dxa" w:w="120"/>
            </w:tcMar>
            <w:vAlign w:val="center"/>
          </w:tcPr>
          <w:p>
            <w:pPr>
              <w:spacing w:line="250"/>
            </w:pPr>
            <w:r>
              <w:rPr>
                <w:sz w:val="18"/>
                <w:szCs w:val="18"/>
              </w:rPr>
              <w:t xml:space="preserve">Splitting large freight invoices into micro-payments to evade monitoring thresholds.</w:t>
            </w:r>
          </w:p>
        </w:tc>
        <w:tc>
          <w:tcPr>
            <w:tcW w:type="dxa" w:w="3346"/>
            <w:shd w:fill="EDEEF2" w:val="clear"/>
            <w:tcMar>
              <w:top w:type="dxa" w:w="90"/>
              <w:left w:type="dxa" w:w="120"/>
              <w:bottom w:type="dxa" w:w="90"/>
              <w:right w:type="dxa" w:w="120"/>
            </w:tcMar>
            <w:vAlign w:val="center"/>
          </w:tcPr>
          <w:p>
            <w:pPr>
              <w:spacing w:line="250"/>
            </w:pPr>
            <w:r>
              <w:rPr>
                <w:sz w:val="18"/>
                <w:szCs w:val="18"/>
              </w:rPr>
              <w:t xml:space="preserve">System auto-flagging and aggregation audit.</w:t>
            </w:r>
          </w:p>
        </w:tc>
      </w:tr>
      <w:tr>
        <w:tc>
          <w:tcPr>
            <w:tcW w:type="dxa" w:w="2600"/>
            <w:shd w:fill="FFFFFF" w:val="clear"/>
            <w:tcMar>
              <w:top w:type="dxa" w:w="90"/>
              <w:left w:type="dxa" w:w="120"/>
              <w:bottom w:type="dxa" w:w="90"/>
              <w:right w:type="dxa" w:w="120"/>
            </w:tcMar>
            <w:vAlign w:val="center"/>
          </w:tcPr>
          <w:p>
            <w:pPr>
              <w:spacing w:line="250"/>
            </w:pPr>
            <w:r>
              <w:rPr>
                <w:sz w:val="18"/>
                <w:szCs w:val="18"/>
              </w:rPr>
              <w:t xml:space="preserve">Third-Party Bank Payout Attempts</w:t>
            </w:r>
          </w:p>
        </w:tc>
        <w:tc>
          <w:tcPr>
            <w:tcW w:type="dxa" w:w="3800"/>
            <w:shd w:fill="FFFFFF" w:val="clear"/>
            <w:tcMar>
              <w:top w:type="dxa" w:w="90"/>
              <w:left w:type="dxa" w:w="120"/>
              <w:bottom w:type="dxa" w:w="90"/>
              <w:right w:type="dxa" w:w="120"/>
            </w:tcMar>
            <w:vAlign w:val="center"/>
          </w:tcPr>
          <w:p>
            <w:pPr>
              <w:spacing w:line="250"/>
            </w:pPr>
            <w:r>
              <w:rPr>
                <w:sz w:val="18"/>
                <w:szCs w:val="18"/>
              </w:rPr>
              <w:t xml:space="preserve">Driver or Fleet Partner requesting settlement to a bank account not registered in their verified name.</w:t>
            </w:r>
          </w:p>
        </w:tc>
        <w:tc>
          <w:tcPr>
            <w:tcW w:type="dxa" w:w="3346"/>
            <w:shd w:fill="FFFFFF" w:val="clear"/>
            <w:tcMar>
              <w:top w:type="dxa" w:w="90"/>
              <w:left w:type="dxa" w:w="120"/>
              <w:bottom w:type="dxa" w:w="90"/>
              <w:right w:type="dxa" w:w="120"/>
            </w:tcMar>
            <w:vAlign w:val="center"/>
          </w:tcPr>
          <w:p>
            <w:pPr>
              <w:spacing w:line="250"/>
            </w:pPr>
            <w:r>
              <w:rPr>
                <w:sz w:val="18"/>
                <w:szCs w:val="18"/>
              </w:rPr>
              <w:t xml:space="preserve">Strict account lock and Account Verification Service (AVS) check.</w:t>
            </w:r>
          </w:p>
        </w:tc>
      </w:tr>
    </w:tbl>
    <w:p>
      <w:pPr>
        <w:spacing w:after="160"/>
      </w:pPr>
    </w:p>
    <w:p>
      <w:pPr>
        <w:spacing w:after="160" w:line="276"/>
      </w:pPr>
      <w:r>
        <w:rPr>
          <w:sz w:val="21"/>
          <w:szCs w:val="21"/>
        </w:rPr>
        <w:t xml:space="preserve">Regulatory Reporting Obligation (FICA Section 29): any transaction or activity suspected of involving money laundering or terrorist financing is reported directly to the South African Financial Intelligence Centre (FIC) via a formal Suspicious Transaction Report (STR) or Suspicious Activity Report (SAR).</w:t>
      </w:r>
    </w:p>
    <w:tbl>
      <w:tblPr>
        <w:tblW w:type="pct" w:w="100%"/>
        <w:tblBorders>
          <w:top w:val="single" w:color="1F3864" w:sz="4"/>
          <w:left w:val="single" w:color="1F3864" w:sz="4"/>
          <w:bottom w:val="single" w:color="1F3864" w:sz="4"/>
          <w:right w:val="single" w:color="1F3864" w:sz="4"/>
          <w:insideH w:val="none" w:color="FFFFFF" w:sz="0"/>
          <w:insideV w:val="none" w:color="FFFFFF" w:sz="0"/>
        </w:tblBorders>
      </w:tblPr>
      <w:tblGrid>
        <w:gridCol w:w="100"/>
      </w:tblGrid>
      <w:tr>
        <w:tc>
          <w:tcPr>
            <w:shd w:fill="EDEEF2" w:val="clear"/>
            <w:tcMar>
              <w:top w:type="dxa" w:w="160"/>
              <w:left w:type="dxa" w:w="220"/>
              <w:bottom w:type="dxa" w:w="160"/>
              <w:right w:type="dxa" w:w="220"/>
            </w:tcMar>
          </w:tcPr>
          <w:p>
            <w:pPr>
              <w:spacing w:after="0" w:line="276"/>
            </w:pPr>
            <w:r>
              <w:rPr>
                <w:b/>
                <w:bCs/>
                <w:color w:val="1F3864"/>
                <w:sz w:val="20"/>
                <w:szCs w:val="20"/>
              </w:rPr>
              <w:t xml:space="preserve">Cross-Reference: </w:t>
            </w:r>
            <w:r>
              <w:rPr>
                <w:color w:val="44546A"/>
                <w:sz w:val="20"/>
                <w:szCs w:val="20"/>
              </w:rPr>
              <w:t xml:space="preserve">A payment freeze under this section is applied as a settlement On Hold or Settlement Reserve under Sections 9 and 15 of the Settlement &amp; Payout Policy (POL-SET-2026-V2), and is investigated using the fraud and compliance controls described in Section 17 of that policy.</w:t>
            </w:r>
          </w:p>
        </w:tc>
      </w:tr>
    </w:tbl>
    <w:p>
      <w:pPr>
        <w:pStyle w:val="Heading1"/>
        <w:pBdr>
          <w:bottom w:val="single" w:color="1F3864" w:sz="6" w:space="4"/>
        </w:pBdr>
        <w:spacing w:after="160" w:before="360"/>
      </w:pPr>
      <w:r>
        <w:rPr>
          <w:b/>
          <w:bCs/>
          <w:color w:val="1F3864"/>
          <w:sz w:val="26"/>
          <w:szCs w:val="26"/>
        </w:rPr>
        <w:t xml:space="preserve">4. RECORD KEEPING &amp; EMPLOYEE TRAINING</w:t>
      </w:r>
    </w:p>
    <w:p>
      <w:pPr>
        <w:spacing w:after="160" w:line="276"/>
      </w:pPr>
      <w:r>
        <w:rPr>
          <w:sz w:val="21"/>
          <w:szCs w:val="21"/>
        </w:rPr>
        <w:t xml:space="preserve">All KYC documentation, transaction metadata, driver logs, and payment audit trails are securely retained in encrypted storage for a statutory minimum period of 5 years post-account termination. Compliance personnel receive annual mandatory training on AML/CFT regulatory updates.</w:t>
      </w:r>
    </w:p>
    <w:p>
      <w:pPr>
        <w:pStyle w:val="Heading1"/>
        <w:pBdr>
          <w:bottom w:val="single" w:color="1F3864" w:sz="6" w:space="4"/>
        </w:pBdr>
        <w:spacing w:after="160" w:before="360"/>
      </w:pPr>
      <w:r>
        <w:rPr>
          <w:b/>
          <w:bCs/>
          <w:color w:val="1F3864"/>
          <w:sz w:val="26"/>
          <w:szCs w:val="26"/>
        </w:rPr>
        <w:t xml:space="preserve">5. RELATIONSHIP TO OTHER POLICIES</w:t>
      </w:r>
    </w:p>
    <w:p>
      <w:pPr>
        <w:spacing w:after="160" w:line="276"/>
      </w:pPr>
      <w:r>
        <w:rPr>
          <w:sz w:val="21"/>
          <w:szCs w:val="21"/>
        </w:rPr>
        <w:t xml:space="preserve">This policy operates alongside, and does not replace, the Settlement &amp; Payout Policy (POL-SET-2026-V2), the KYC &amp; Identity Verification Policy (POL-KYC-2026-V2), and the Dispute Resolution Policy (POL-DSP-2026-V2). Where a payment freeze, hold, or reserve is applied under this policy, the procedural mechanics of that freeze — including notification, review, and release — follow the relevant provisions of POL-SET-2026-V2.</w:t>
      </w:r>
    </w:p>
    <w:p>
      <w:pPr>
        <w:pStyle w:val="Heading1"/>
        <w:pBdr>
          <w:bottom w:val="single" w:color="1F3864" w:sz="6" w:space="4"/>
        </w:pBdr>
        <w:spacing w:after="160" w:before="360"/>
      </w:pPr>
      <w:r>
        <w:rPr>
          <w:b/>
          <w:bCs/>
          <w:color w:val="1F3864"/>
          <w:sz w:val="26"/>
          <w:szCs w:val="26"/>
        </w:rPr>
        <w:t xml:space="preserve">6. GOVERNING LAW</w:t>
      </w:r>
    </w:p>
    <w:p>
      <w:pPr>
        <w:spacing w:after="160" w:line="276"/>
      </w:pPr>
      <w:r>
        <w:rPr>
          <w:sz w:val="21"/>
          <w:szCs w:val="21"/>
        </w:rPr>
        <w:t xml:space="preserve">This policy is governed by the laws of the Republic of South Africa and forms part of the WilteX Direct Legal &amp; Compliance Framework, aligned with the Financial Intelligence Centre Act (FICA) 38 of 2001 and the Prevention of Organised Crime Act (POCA) 121 of 1998.</w:t>
      </w:r>
    </w:p>
    <w:p>
      <w:pPr>
        <w:pStyle w:val="Heading1"/>
        <w:pBdr>
          <w:bottom w:val="single" w:color="1F3864" w:sz="6" w:space="4"/>
        </w:pBdr>
        <w:spacing w:after="160" w:before="360"/>
      </w:pPr>
      <w:r>
        <w:rPr>
          <w:b/>
          <w:bCs/>
          <w:color w:val="1F3864"/>
          <w:sz w:val="26"/>
          <w:szCs w:val="26"/>
        </w:rPr>
        <w:t xml:space="preserve">7. CONTACT</w:t>
      </w:r>
    </w:p>
    <w:p>
      <w:pPr>
        <w:spacing w:after="160" w:line="276"/>
      </w:pPr>
      <w:r>
        <w:rPr>
          <w:sz w:val="21"/>
          <w:szCs w:val="21"/>
        </w:rPr>
        <w:t xml:space="preserve">WilteX Direct (Pty) Ltd</w:t>
      </w:r>
    </w:p>
    <w:p>
      <w:pPr>
        <w:spacing w:after="160" w:line="276"/>
      </w:pPr>
      <w:r>
        <w:rPr>
          <w:sz w:val="21"/>
          <w:szCs w:val="21"/>
        </w:rPr>
        <w:t xml:space="preserve">Anti-Money Laundering Compliance Officer</w:t>
      </w:r>
    </w:p>
    <w:p>
      <w:pPr>
        <w:spacing w:after="160" w:line="276"/>
      </w:pPr>
      <w:r>
        <w:rPr>
          <w:sz w:val="21"/>
          <w:szCs w:val="21"/>
        </w:rPr>
        <w:t xml:space="preserve">Email: aml-compliance@wiltex.direct</w:t>
      </w:r>
    </w:p>
    <w:p>
      <w:pPr>
        <w:spacing w:after="160" w:line="276"/>
      </w:pPr>
      <w:r>
        <w:rPr>
          <w:sz w:val="21"/>
          <w:szCs w:val="21"/>
        </w:rPr>
        <w:t xml:space="preserve">Website: https://wiltex.direct</w:t>
      </w:r>
    </w:p>
    <w:p>
      <w:pPr>
        <w:spacing w:after="160" w:line="276"/>
      </w:pPr>
      <w:r>
        <w:rPr>
          <w:sz w:val="21"/>
          <w:szCs w:val="21"/>
        </w:rPr>
        <w:t xml:space="preserve">Johannesburg, South Africa</w:t>
      </w:r>
    </w:p>
    <w:p>
      <w:pPr>
        <w:pBdr>
          <w:top w:val="single" w:color="BFBFBF" w:sz="4" w:space="8"/>
        </w:pBdr>
        <w:spacing w:before="200"/>
      </w:pPr>
      <w:r>
        <w:rPr>
          <w:i/>
          <w:iCs/>
          <w:color w:val="44546A"/>
          <w:sz w:val="18"/>
          <w:szCs w:val="18"/>
        </w:rPr>
        <w:t xml:space="preserve">Document Control Note: This version supersedes POL-AML-2026-V1 and aligns all domain references, contact details, and cross-references with the WilteX Direct Settlement &amp; Payout Policy (POL-SET-2026-V2), the platform's word of truth on payment mechanics. WilteX Direct is a marketplace platform connecting Customers to independent Fleet Partners; it does not own transport assets.</w:t>
      </w:r>
    </w:p>
    <w:sectPr>
      <w:headerReference w:type="default" r:id="rId7"/>
      <w:footerReference w:type="default" r:id="rId8"/>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4"/>
      </w:pBdr>
      <w:tabs>
        <w:tab w:val="right" w:pos="9026"/>
      </w:tabs>
    </w:pPr>
    <w:r>
      <w:rPr>
        <w:color w:val="44546A"/>
        <w:sz w:val="16"/>
        <w:szCs w:val="16"/>
      </w:rPr>
      <w:t xml:space="preserve">POL-AML-2026-V2</w:t>
    </w:r>
    <w:r>
      <w:rPr>
        <w:color w:val="44546A"/>
        <w:sz w:val="16"/>
        <w:szCs w:val="16"/>
      </w:rPr>
      <w:t xml:space="preserve">	Page </w:t>
    </w:r>
    <w:r>
      <w:rPr>
        <w:color w:val="44546A"/>
        <w:sz w:val="16"/>
        <w:szCs w:val="16"/>
      </w:rPr>
      <w:fldChar w:fldCharType="begin"/>
      <w:instrText xml:space="preserve">PAGE</w:instrText>
      <w:fldChar w:fldCharType="separate"/>
      <w:fldChar w:fldCharType="end"/>
    </w:r>
    <w:r>
      <w:rPr>
        <w:color w:val="44546A"/>
        <w:sz w:val="16"/>
        <w:szCs w:val="16"/>
      </w:rPr>
      <w:t xml:space="preserve"> of </w:t>
    </w:r>
    <w:r>
      <w:rPr>
        <w:color w:val="4454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BFBF" w:sz="4" w:space="4"/>
      </w:pBdr>
      <w:tabs>
        <w:tab w:val="right" w:pos="9026"/>
      </w:tabs>
    </w:pPr>
    <w:r>
      <w:rPr>
        <w:b/>
        <w:bCs/>
        <w:color w:val="44546A"/>
        <w:sz w:val="16"/>
        <w:szCs w:val="16"/>
      </w:rPr>
      <w:t xml:space="preserve">WILTEX DIRECT | LEGAL &amp; COMPLIANCE</w:t>
    </w:r>
    <w:r>
      <w:rPr>
        <w:color w:val="44546A"/>
        <w:sz w:val="16"/>
        <w:szCs w:val="16"/>
      </w:rPr>
      <w:t xml:space="preserve">	AML &amp; CFT Compliance Policy V2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2026-08-07T09:56:09.216Z</dcterms:created>
  <dcterms:modified xsi:type="dcterms:W3CDTF">2026-08-07T09:56:09.236Z</dcterms:modified>
</cp:coreProperties>
</file>

<file path=docProps/custom.xml><?xml version="1.0" encoding="utf-8"?>
<Properties xmlns="http://schemas.openxmlformats.org/officeDocument/2006/custom-properties" xmlns:vt="http://schemas.openxmlformats.org/officeDocument/2006/docPropsVTypes"/>
</file>